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500" w:lineRule="exact"/>
        <w:jc w:val="center"/>
        <w:rPr>
          <w:rFonts w:cs="^•®ˇø®ÑÂ'1" w:asciiTheme="majorEastAsia" w:hAnsiTheme="majorEastAsia" w:eastAsiaTheme="majorEastAsia"/>
          <w:bCs/>
          <w:kern w:val="0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500" w:lineRule="exact"/>
        <w:jc w:val="left"/>
        <w:rPr>
          <w:rFonts w:cs="^•®ˇø®ÑÂ'1" w:asciiTheme="majorEastAsia" w:hAnsiTheme="majorEastAsia" w:eastAsiaTheme="majorEastAsia"/>
          <w:bCs/>
          <w:kern w:val="0"/>
          <w:sz w:val="28"/>
          <w:szCs w:val="24"/>
        </w:rPr>
      </w:pPr>
      <w:r>
        <w:rPr>
          <w:rFonts w:hint="eastAsia" w:cs="^•®ˇø®ÑÂ'1" w:asciiTheme="majorEastAsia" w:hAnsiTheme="majorEastAsia" w:eastAsiaTheme="majorEastAsia"/>
          <w:bCs/>
          <w:kern w:val="0"/>
          <w:sz w:val="28"/>
          <w:szCs w:val="24"/>
        </w:rPr>
        <w:t>公示内容1：</w:t>
      </w:r>
    </w:p>
    <w:p>
      <w:pPr>
        <w:widowControl/>
        <w:autoSpaceDE w:val="0"/>
        <w:autoSpaceDN w:val="0"/>
        <w:adjustRightInd w:val="0"/>
        <w:spacing w:line="500" w:lineRule="exact"/>
        <w:jc w:val="center"/>
        <w:rPr>
          <w:rFonts w:ascii="黑体" w:hAnsi="黑体" w:eastAsia="黑体" w:cs="^•®ˇø®ÑÂ'1"/>
          <w:b/>
          <w:bCs/>
          <w:kern w:val="0"/>
          <w:sz w:val="28"/>
          <w:szCs w:val="24"/>
        </w:rPr>
      </w:pPr>
      <w:bookmarkStart w:id="0" w:name="_GoBack"/>
      <w:bookmarkEnd w:id="0"/>
      <w:r>
        <w:rPr>
          <w:rFonts w:hint="eastAsia" w:ascii="黑体" w:hAnsi="黑体" w:eastAsia="黑体" w:cs="^•®ˇø®ÑÂ'1"/>
          <w:b/>
          <w:bCs/>
          <w:kern w:val="0"/>
          <w:sz w:val="28"/>
          <w:szCs w:val="24"/>
        </w:rPr>
        <w:t>项目名称：印度洋海盆模态对东亚夏季气候的影响机理</w:t>
      </w:r>
    </w:p>
    <w:p>
      <w:pPr>
        <w:widowControl/>
        <w:autoSpaceDE w:val="0"/>
        <w:autoSpaceDN w:val="0"/>
        <w:adjustRightInd w:val="0"/>
        <w:spacing w:line="500" w:lineRule="exact"/>
        <w:ind w:firstLine="1680" w:firstLineChars="700"/>
        <w:rPr>
          <w:rFonts w:cs="^•®ˇø®ÑÂ'1" w:asciiTheme="majorEastAsia" w:hAnsiTheme="majorEastAsia" w:eastAsiaTheme="majorEastAsia"/>
          <w:bCs/>
          <w:kern w:val="0"/>
          <w:sz w:val="24"/>
          <w:szCs w:val="24"/>
        </w:rPr>
      </w:pPr>
      <w:r>
        <w:rPr>
          <w:rFonts w:hint="eastAsia" w:cs="^•®ˇø®ÑÂ'1" w:asciiTheme="majorEastAsia" w:hAnsiTheme="majorEastAsia" w:eastAsiaTheme="majorEastAsia"/>
          <w:bCs/>
          <w:kern w:val="0"/>
          <w:sz w:val="24"/>
          <w:szCs w:val="24"/>
        </w:rPr>
        <w:t>推荐奖种：大气科学基础研究成果奖一等奖</w:t>
      </w:r>
    </w:p>
    <w:p>
      <w:pPr>
        <w:widowControl/>
        <w:autoSpaceDE w:val="0"/>
        <w:autoSpaceDN w:val="0"/>
        <w:adjustRightInd w:val="0"/>
        <w:spacing w:line="500" w:lineRule="exact"/>
        <w:ind w:firstLine="1680" w:firstLineChars="700"/>
        <w:rPr>
          <w:rFonts w:cs="^•®ˇø®ÑÂ'1" w:asciiTheme="majorEastAsia" w:hAnsiTheme="majorEastAsia" w:eastAsiaTheme="majorEastAsia"/>
          <w:bCs/>
          <w:color w:val="FF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完成人:</w:t>
      </w:r>
      <w:r>
        <w:rPr>
          <w:rFonts w:hint="eastAsia" w:cs="^•®ˇø®ÑÂ'1" w:asciiTheme="majorEastAsia" w:hAnsiTheme="majorEastAsia" w:eastAsiaTheme="majorEastAsia"/>
          <w:bCs/>
          <w:kern w:val="0"/>
          <w:sz w:val="24"/>
          <w:szCs w:val="24"/>
        </w:rPr>
        <w:t>黄刚，杜岩，李双林，胡开明，屈侠</w:t>
      </w:r>
    </w:p>
    <w:p>
      <w:pPr>
        <w:widowControl/>
        <w:autoSpaceDE w:val="0"/>
        <w:autoSpaceDN w:val="0"/>
        <w:adjustRightInd w:val="0"/>
        <w:spacing w:line="500" w:lineRule="exact"/>
        <w:ind w:firstLine="1680" w:firstLineChars="700"/>
        <w:rPr>
          <w:rFonts w:cs="^•®ˇø®ÑÂ'1" w:asciiTheme="majorEastAsia" w:hAnsiTheme="majorEastAsia" w:eastAsiaTheme="majorEastAsia"/>
          <w:bCs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完成单位：</w:t>
      </w:r>
      <w:r>
        <w:rPr>
          <w:rFonts w:hint="eastAsia" w:cs="^•®ˇø®ÑÂ'1" w:asciiTheme="majorEastAsia" w:hAnsiTheme="majorEastAsia" w:eastAsiaTheme="majorEastAsia"/>
          <w:bCs/>
          <w:kern w:val="0"/>
          <w:sz w:val="24"/>
          <w:szCs w:val="24"/>
        </w:rPr>
        <w:t>中国科学院大气物理研究所</w:t>
      </w:r>
    </w:p>
    <w:p>
      <w:pPr>
        <w:widowControl/>
        <w:autoSpaceDE w:val="0"/>
        <w:autoSpaceDN w:val="0"/>
        <w:adjustRightInd w:val="0"/>
        <w:spacing w:line="500" w:lineRule="exact"/>
        <w:ind w:firstLine="1680" w:firstLineChars="700"/>
        <w:rPr>
          <w:rFonts w:cs="^•®ˇø®ÑÂ'1" w:asciiTheme="majorEastAsia" w:hAnsiTheme="majorEastAsia" w:eastAsiaTheme="majorEastAsia"/>
          <w:bCs/>
          <w:kern w:val="0"/>
          <w:sz w:val="24"/>
          <w:szCs w:val="24"/>
        </w:rPr>
      </w:pPr>
      <w:r>
        <w:rPr>
          <w:rFonts w:hint="eastAsia" w:cs="^•®ˇø®ÑÂ'1" w:asciiTheme="majorEastAsia" w:hAnsiTheme="majorEastAsia" w:eastAsiaTheme="majorEastAsia"/>
          <w:bCs/>
          <w:kern w:val="0"/>
          <w:sz w:val="24"/>
          <w:szCs w:val="24"/>
        </w:rPr>
        <w:t>中国科学院南海海洋研究所</w:t>
      </w:r>
    </w:p>
    <w:p>
      <w:pPr>
        <w:widowControl/>
        <w:autoSpaceDE w:val="0"/>
        <w:autoSpaceDN w:val="0"/>
        <w:adjustRightInd w:val="0"/>
        <w:spacing w:line="500" w:lineRule="exact"/>
        <w:ind w:firstLine="470" w:firstLineChars="1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ajorEastAsia"/>
          <w:bCs/>
          <w:kern w:val="0"/>
          <w:sz w:val="24"/>
          <w:szCs w:val="24"/>
        </w:rPr>
        <w:t>项目内容简介：</w:t>
      </w:r>
      <w:r>
        <w:rPr>
          <w:rFonts w:ascii="Times New Roman" w:hAnsi="Times New Roman" w:cs="Times New Roman"/>
          <w:sz w:val="24"/>
          <w:szCs w:val="24"/>
        </w:rPr>
        <w:t>我国夏季气候变异的预测主要依赖于东亚短期气候预测理论。研究团队一直致力于东亚短期气候预测理论的发展，通过</w:t>
      </w:r>
      <w:r>
        <w:rPr>
          <w:rFonts w:ascii="Times New Roman" w:hAnsi="Times New Roman" w:cs="Times New Roman" w:eastAsiaTheme="majorEastAsia"/>
          <w:bCs/>
          <w:kern w:val="0"/>
          <w:sz w:val="24"/>
          <w:szCs w:val="24"/>
        </w:rPr>
        <w:t>动力诊断、理论研究和数值模拟，系统阐明了印度洋</w:t>
      </w:r>
      <w:r>
        <w:rPr>
          <w:rFonts w:hint="eastAsia" w:ascii="Times New Roman" w:hAnsi="Times New Roman" w:cs="Times New Roman" w:eastAsiaTheme="majorEastAsia"/>
          <w:bCs/>
          <w:kern w:val="0"/>
          <w:sz w:val="24"/>
          <w:szCs w:val="24"/>
        </w:rPr>
        <w:t>海盆模态</w:t>
      </w:r>
      <w:r>
        <w:rPr>
          <w:rFonts w:ascii="Times New Roman" w:hAnsi="Times New Roman" w:cs="Times New Roman" w:eastAsiaTheme="majorEastAsia"/>
          <w:bCs/>
          <w:kern w:val="0"/>
          <w:sz w:val="24"/>
          <w:szCs w:val="24"/>
        </w:rPr>
        <w:t>对东亚夏季气候的影响，</w:t>
      </w:r>
      <w:r>
        <w:rPr>
          <w:rFonts w:ascii="Times New Roman" w:hAnsi="Times New Roman" w:cs="Times New Roman"/>
          <w:sz w:val="24"/>
          <w:szCs w:val="24"/>
        </w:rPr>
        <w:t>取得了如下创新性的成果：</w:t>
      </w:r>
    </w:p>
    <w:p>
      <w:pPr>
        <w:spacing w:line="500" w:lineRule="exact"/>
        <w:ind w:firstLine="470" w:firstLineChars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b/>
          <w:sz w:val="24"/>
          <w:szCs w:val="24"/>
        </w:rPr>
        <w:t>系统</w:t>
      </w:r>
      <w:r>
        <w:rPr>
          <w:rFonts w:hint="eastAsia" w:ascii="Times New Roman" w:hAnsi="Times New Roman" w:cs="Times New Roman"/>
          <w:b/>
          <w:sz w:val="24"/>
          <w:szCs w:val="24"/>
        </w:rPr>
        <w:t>揭示</w:t>
      </w:r>
      <w:r>
        <w:rPr>
          <w:rFonts w:ascii="Times New Roman" w:hAnsi="Times New Roman" w:cs="Times New Roman"/>
          <w:b/>
          <w:sz w:val="24"/>
          <w:szCs w:val="24"/>
        </w:rPr>
        <w:t>了印度洋海盆模态对东亚夏季气候的影响</w:t>
      </w:r>
      <w:r>
        <w:rPr>
          <w:rFonts w:hint="eastAsia" w:ascii="Times New Roman" w:hAnsi="Times New Roman" w:cs="Times New Roman"/>
          <w:b/>
          <w:sz w:val="24"/>
          <w:szCs w:val="24"/>
        </w:rPr>
        <w:t>机理</w:t>
      </w:r>
      <w:r>
        <w:rPr>
          <w:rFonts w:ascii="Times New Roman" w:hAnsi="Times New Roman" w:cs="Times New Roman"/>
          <w:b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>东亚短期气候预测很大程度上依靠西北太平洋对流活动的预测，而印度洋海气相互作用对西北太平洋对流活动的变异起着重要作用。基于对印度洋和西北太平洋气候的理解，研究团队</w:t>
      </w:r>
      <w:r>
        <w:rPr>
          <w:rFonts w:hint="eastAsia" w:ascii="Times New Roman" w:hAnsi="Times New Roman" w:cs="Times New Roman"/>
          <w:sz w:val="24"/>
          <w:szCs w:val="24"/>
        </w:rPr>
        <w:t>联合</w:t>
      </w:r>
      <w:r>
        <w:rPr>
          <w:rFonts w:ascii="Times New Roman" w:hAnsi="Times New Roman" w:cs="Times New Roman"/>
          <w:sz w:val="24"/>
          <w:szCs w:val="24"/>
        </w:rPr>
        <w:t>提出了“印度洋电容器效应”的机制，即：ENSO衰退期春季，热带南印度洋存在缓慢传播的海洋Rossby波动，在春末夏初抵达西南印度洋时，在局地形成强对流活动，在北印度洋上空产生东风异常，形成了印度洋海盆增暖；该海盆增暖，在其东面形成Kelvin波响应；在西北太平洋地区Kelvin波响应的东北侧，由于局地对流-环流的反馈和边界层摩擦的作用，形成了对流层低层反气旋异常。西北太平洋地区对流活动的异常，可以激发出向北的东亚-太平洋遥响应，</w:t>
      </w:r>
      <w:r>
        <w:rPr>
          <w:rFonts w:hint="eastAsia" w:ascii="Times New Roman" w:hAnsi="Times New Roman" w:cs="Times New Roman"/>
          <w:sz w:val="24"/>
          <w:szCs w:val="24"/>
        </w:rPr>
        <w:t>在我国东南上空对流层低层为反气旋式环流覆盖，在</w:t>
      </w:r>
      <w:r>
        <w:rPr>
          <w:rFonts w:ascii="Times New Roman" w:hAnsi="Times New Roman" w:cs="Times New Roman"/>
          <w:sz w:val="24"/>
          <w:szCs w:val="24"/>
        </w:rPr>
        <w:t>东亚副热带地区上空</w:t>
      </w:r>
      <w:r>
        <w:rPr>
          <w:rFonts w:hint="eastAsia" w:ascii="Times New Roman" w:hAnsi="Times New Roman" w:cs="Times New Roman"/>
          <w:sz w:val="24"/>
          <w:szCs w:val="24"/>
        </w:rPr>
        <w:t>对流层中高层形成东风异常，</w:t>
      </w:r>
      <w:r>
        <w:rPr>
          <w:rFonts w:ascii="Times New Roman" w:hAnsi="Times New Roman" w:cs="Times New Roman"/>
          <w:sz w:val="24"/>
          <w:szCs w:val="24"/>
        </w:rPr>
        <w:t>诱发东亚夏季降水的变异。印度洋海盆模态的变异可以改变上空对流层温度，与副热带大气形成温度梯度，影响到对流层中高层位势高度场和风场，</w:t>
      </w:r>
      <w:r>
        <w:rPr>
          <w:rFonts w:hint="eastAsia" w:ascii="Times New Roman" w:hAnsi="Times New Roman" w:cs="Times New Roman"/>
          <w:sz w:val="24"/>
          <w:szCs w:val="24"/>
        </w:rPr>
        <w:t>亦可</w:t>
      </w:r>
      <w:r>
        <w:rPr>
          <w:rFonts w:ascii="Times New Roman" w:hAnsi="Times New Roman" w:cs="Times New Roman"/>
          <w:sz w:val="24"/>
          <w:szCs w:val="24"/>
        </w:rPr>
        <w:t>诱发东亚夏季降水的变异。进而，上述环流和降水的变异可导致我国极端高温天气事件的异常。</w:t>
      </w:r>
    </w:p>
    <w:p>
      <w:pPr>
        <w:spacing w:line="500" w:lineRule="exact"/>
        <w:ind w:firstLine="470" w:firstLineChars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b/>
          <w:sz w:val="24"/>
          <w:szCs w:val="24"/>
        </w:rPr>
        <w:t>发现印度洋海盆模态对</w:t>
      </w:r>
      <w:r>
        <w:rPr>
          <w:rFonts w:hint="eastAsia" w:ascii="Times New Roman" w:hAnsi="Times New Roman" w:cs="Times New Roman"/>
          <w:b/>
          <w:sz w:val="24"/>
          <w:szCs w:val="24"/>
        </w:rPr>
        <w:t>东亚夏季</w:t>
      </w:r>
      <w:r>
        <w:rPr>
          <w:rFonts w:ascii="Times New Roman" w:hAnsi="Times New Roman" w:cs="Times New Roman"/>
          <w:b/>
          <w:sz w:val="24"/>
          <w:szCs w:val="24"/>
        </w:rPr>
        <w:t>气候的影响</w:t>
      </w:r>
      <w:r>
        <w:rPr>
          <w:rFonts w:hint="eastAsia" w:ascii="Times New Roman" w:hAnsi="Times New Roman" w:cs="Times New Roman"/>
          <w:b/>
          <w:sz w:val="24"/>
          <w:szCs w:val="24"/>
        </w:rPr>
        <w:t>在20世纪70年代后加强</w:t>
      </w:r>
      <w:r>
        <w:rPr>
          <w:rFonts w:ascii="Times New Roman" w:hAnsi="Times New Roman" w:cs="Times New Roman"/>
          <w:b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>研究团队发现了热带印度洋对东亚夏季气候的影响在20世纪70年代之后明显增强。在1976/77年之后，西南印度洋温跃层变浅，热带印度洋海盆模的维持时间更长，夏季热带印度洋海温变率也更大；印度洋上空大气Kelvin波动和海温异常的大小有关，海温异常越大时，波动也越强；因此，在1976/77年之后夏季热带印度洋海盆模海温异常更容易激发大气Kelvin波动，也更容易造成西北太平洋气候异常。而在1976/77年之前，印度洋海盆模态快速衰减，夏季海温异常很弱，同时大气Kelvin波对东亚-西北太平洋夏季气候所造成的影响也很弱。相应地，印度洋海盆模态对我国南方夏季</w:t>
      </w:r>
      <w:r>
        <w:rPr>
          <w:rFonts w:hint="eastAsia" w:ascii="Times New Roman" w:hAnsi="Times New Roman" w:cs="Times New Roman"/>
          <w:sz w:val="24"/>
          <w:szCs w:val="24"/>
        </w:rPr>
        <w:t>极端</w:t>
      </w:r>
      <w:r>
        <w:rPr>
          <w:rFonts w:ascii="Times New Roman" w:hAnsi="Times New Roman" w:cs="Times New Roman"/>
          <w:sz w:val="24"/>
          <w:szCs w:val="24"/>
        </w:rPr>
        <w:t>高温天气的影响也存在年代际变化。因此，该研究一定程度上解释了20世纪70年代东亚气候突变的原因。在全球变暖的背景下，热带印度洋年际变化显著加强，对东亚夏季气候的影响可能会越来越重要。</w:t>
      </w:r>
    </w:p>
    <w:p>
      <w:pPr>
        <w:spacing w:line="500" w:lineRule="exact"/>
        <w:ind w:firstLine="470" w:firstLineChars="196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（3）</w:t>
      </w:r>
      <w:r>
        <w:rPr>
          <w:rFonts w:hint="eastAsia" w:ascii="Times New Roman" w:hAnsi="Times New Roman" w:cs="Times New Roman"/>
          <w:b/>
          <w:sz w:val="24"/>
          <w:szCs w:val="24"/>
        </w:rPr>
        <w:t>发现全球增暖背景下</w:t>
      </w:r>
      <w:r>
        <w:rPr>
          <w:rFonts w:ascii="Times New Roman" w:hAnsi="Times New Roman" w:cs="Times New Roman"/>
          <w:b/>
          <w:sz w:val="24"/>
          <w:szCs w:val="24"/>
        </w:rPr>
        <w:t>印度洋海盆模态</w:t>
      </w:r>
      <w:r>
        <w:rPr>
          <w:rFonts w:hint="eastAsia" w:ascii="Times New Roman" w:hAnsi="Times New Roman" w:cs="Times New Roman"/>
          <w:b/>
          <w:sz w:val="24"/>
          <w:szCs w:val="24"/>
        </w:rPr>
        <w:t>对东亚夏季气候的影响仍在增强。</w:t>
      </w:r>
      <w:r>
        <w:rPr>
          <w:rFonts w:hint="eastAsia" w:ascii="Times New Roman" w:hAnsi="Times New Roman" w:cs="Times New Roman"/>
          <w:sz w:val="24"/>
          <w:szCs w:val="24"/>
        </w:rPr>
        <w:t>研究团队发现，全球变暖背景下，气温升高造成大气饱和比湿增加，引起水汽含量增加和对流层温度机制的增强，印度洋海盆模态的变率得到加强，</w:t>
      </w:r>
      <w:r>
        <w:rPr>
          <w:rFonts w:ascii="Times New Roman" w:hAnsi="Times New Roman" w:cs="Times New Roman"/>
          <w:sz w:val="24"/>
          <w:szCs w:val="24"/>
        </w:rPr>
        <w:t>“印度洋电容器效应”</w:t>
      </w:r>
      <w:r>
        <w:rPr>
          <w:rFonts w:hint="eastAsia" w:ascii="Times New Roman" w:hAnsi="Times New Roman" w:cs="Times New Roman"/>
          <w:sz w:val="24"/>
          <w:szCs w:val="24"/>
        </w:rPr>
        <w:t>增强，从而导致了西北太平洋反气旋异常的加强，使得印度洋对东亚夏季气候的影响加强。</w:t>
      </w:r>
    </w:p>
    <w:p>
      <w:pPr>
        <w:spacing w:line="500" w:lineRule="exact"/>
        <w:ind w:firstLine="470" w:firstLineChars="196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基于上述研究的重要性，这些成果得到了中国、日本的气象业务部门的采纳，并应用与其短期气候预测系统。20篇论文总计被引用</w:t>
      </w:r>
      <w:r>
        <w:rPr>
          <w:rFonts w:ascii="Times New Roman" w:hAnsi="Times New Roman" w:cs="Times New Roman"/>
          <w:sz w:val="24"/>
          <w:szCs w:val="24"/>
        </w:rPr>
        <w:t>2296</w:t>
      </w:r>
      <w:r>
        <w:rPr>
          <w:rFonts w:hint="eastAsia" w:ascii="Times New Roman" w:hAnsi="Times New Roman" w:cs="Times New Roman"/>
          <w:sz w:val="24"/>
          <w:szCs w:val="24"/>
        </w:rPr>
        <w:t>次，他引</w:t>
      </w:r>
      <w:r>
        <w:rPr>
          <w:rFonts w:ascii="Times New Roman" w:hAnsi="Times New Roman" w:cs="Times New Roman"/>
          <w:sz w:val="24"/>
          <w:szCs w:val="24"/>
        </w:rPr>
        <w:t>2088</w:t>
      </w:r>
      <w:r>
        <w:rPr>
          <w:rFonts w:hint="eastAsia" w:ascii="Times New Roman" w:hAnsi="Times New Roman" w:cs="Times New Roman"/>
          <w:sz w:val="24"/>
          <w:szCs w:val="24"/>
        </w:rPr>
        <w:t>次；被影响因子高于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hint="eastAsia" w:ascii="Times New Roman" w:hAnsi="Times New Roman" w:cs="Times New Roman"/>
          <w:sz w:val="24"/>
          <w:szCs w:val="24"/>
        </w:rPr>
        <w:t>的期刊引用32次，被Na</w:t>
      </w:r>
      <w:r>
        <w:rPr>
          <w:rFonts w:ascii="Times New Roman" w:hAnsi="Times New Roman" w:cs="Times New Roman"/>
          <w:sz w:val="24"/>
          <w:szCs w:val="24"/>
        </w:rPr>
        <w:t>ture</w:t>
      </w:r>
      <w:r>
        <w:rPr>
          <w:rFonts w:hint="eastAsia" w:ascii="Times New Roman" w:hAnsi="Times New Roman" w:cs="Times New Roman"/>
          <w:sz w:val="24"/>
          <w:szCs w:val="24"/>
        </w:rPr>
        <w:t>系列期刊引用11次。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^•®ˇø®ÑÂ'1">
    <w:altName w:val="Times New Roman"/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2E"/>
    <w:rsid w:val="00003028"/>
    <w:rsid w:val="00021CF2"/>
    <w:rsid w:val="00030317"/>
    <w:rsid w:val="00036E7E"/>
    <w:rsid w:val="000423AC"/>
    <w:rsid w:val="00042828"/>
    <w:rsid w:val="00043D0C"/>
    <w:rsid w:val="00043F50"/>
    <w:rsid w:val="000612F0"/>
    <w:rsid w:val="0006152D"/>
    <w:rsid w:val="000940CD"/>
    <w:rsid w:val="000963BA"/>
    <w:rsid w:val="000A7A7F"/>
    <w:rsid w:val="000B03A5"/>
    <w:rsid w:val="000C5A8F"/>
    <w:rsid w:val="000C7176"/>
    <w:rsid w:val="000E1FC0"/>
    <w:rsid w:val="001040A9"/>
    <w:rsid w:val="001144E8"/>
    <w:rsid w:val="00116243"/>
    <w:rsid w:val="001279EB"/>
    <w:rsid w:val="00155D68"/>
    <w:rsid w:val="00162BC2"/>
    <w:rsid w:val="0017685B"/>
    <w:rsid w:val="001925BC"/>
    <w:rsid w:val="001B2648"/>
    <w:rsid w:val="002623BE"/>
    <w:rsid w:val="0026782D"/>
    <w:rsid w:val="00270FC7"/>
    <w:rsid w:val="00273BE7"/>
    <w:rsid w:val="00273C9D"/>
    <w:rsid w:val="002A4006"/>
    <w:rsid w:val="002A705F"/>
    <w:rsid w:val="002B0974"/>
    <w:rsid w:val="002C4FE4"/>
    <w:rsid w:val="002E76AF"/>
    <w:rsid w:val="002F582D"/>
    <w:rsid w:val="0030266B"/>
    <w:rsid w:val="00353FF3"/>
    <w:rsid w:val="00354EDF"/>
    <w:rsid w:val="003604AD"/>
    <w:rsid w:val="00365C05"/>
    <w:rsid w:val="00373DA1"/>
    <w:rsid w:val="00380233"/>
    <w:rsid w:val="003A458D"/>
    <w:rsid w:val="003C2654"/>
    <w:rsid w:val="003F1C74"/>
    <w:rsid w:val="003F3169"/>
    <w:rsid w:val="003F6AA1"/>
    <w:rsid w:val="00436302"/>
    <w:rsid w:val="00437754"/>
    <w:rsid w:val="00437E1F"/>
    <w:rsid w:val="00461C78"/>
    <w:rsid w:val="0047477F"/>
    <w:rsid w:val="004828BD"/>
    <w:rsid w:val="004A4D75"/>
    <w:rsid w:val="004B352A"/>
    <w:rsid w:val="004C3E2D"/>
    <w:rsid w:val="004D3C42"/>
    <w:rsid w:val="004E62E3"/>
    <w:rsid w:val="004E6A99"/>
    <w:rsid w:val="00503694"/>
    <w:rsid w:val="00505FC5"/>
    <w:rsid w:val="00506B52"/>
    <w:rsid w:val="00535B55"/>
    <w:rsid w:val="00536D11"/>
    <w:rsid w:val="00563F09"/>
    <w:rsid w:val="005808EF"/>
    <w:rsid w:val="005834E9"/>
    <w:rsid w:val="005B50D4"/>
    <w:rsid w:val="005C1259"/>
    <w:rsid w:val="005C1AC1"/>
    <w:rsid w:val="005D3B8E"/>
    <w:rsid w:val="005F4492"/>
    <w:rsid w:val="00620650"/>
    <w:rsid w:val="00641570"/>
    <w:rsid w:val="00643CB4"/>
    <w:rsid w:val="00693D2E"/>
    <w:rsid w:val="0069491D"/>
    <w:rsid w:val="006B606E"/>
    <w:rsid w:val="006F297C"/>
    <w:rsid w:val="00703A82"/>
    <w:rsid w:val="00722964"/>
    <w:rsid w:val="00736B68"/>
    <w:rsid w:val="00760E97"/>
    <w:rsid w:val="007720D3"/>
    <w:rsid w:val="00777B8A"/>
    <w:rsid w:val="007863CF"/>
    <w:rsid w:val="007A7B86"/>
    <w:rsid w:val="007D2674"/>
    <w:rsid w:val="007D36DB"/>
    <w:rsid w:val="007D5A16"/>
    <w:rsid w:val="007D7CF0"/>
    <w:rsid w:val="008127B3"/>
    <w:rsid w:val="008135A3"/>
    <w:rsid w:val="00837827"/>
    <w:rsid w:val="008437C8"/>
    <w:rsid w:val="0085044E"/>
    <w:rsid w:val="008552AA"/>
    <w:rsid w:val="00861FD0"/>
    <w:rsid w:val="008720F9"/>
    <w:rsid w:val="00892F9C"/>
    <w:rsid w:val="008A0C26"/>
    <w:rsid w:val="008B0B02"/>
    <w:rsid w:val="008C6AF6"/>
    <w:rsid w:val="008E591B"/>
    <w:rsid w:val="008F6F3E"/>
    <w:rsid w:val="00906A03"/>
    <w:rsid w:val="0090755C"/>
    <w:rsid w:val="009136B5"/>
    <w:rsid w:val="0092483E"/>
    <w:rsid w:val="00954B86"/>
    <w:rsid w:val="00973130"/>
    <w:rsid w:val="009834EB"/>
    <w:rsid w:val="00984148"/>
    <w:rsid w:val="00991C82"/>
    <w:rsid w:val="009953EB"/>
    <w:rsid w:val="009B38C8"/>
    <w:rsid w:val="009B673E"/>
    <w:rsid w:val="009B6946"/>
    <w:rsid w:val="009D138F"/>
    <w:rsid w:val="00A245B4"/>
    <w:rsid w:val="00A252E7"/>
    <w:rsid w:val="00A477AA"/>
    <w:rsid w:val="00A513FC"/>
    <w:rsid w:val="00A578ED"/>
    <w:rsid w:val="00A66CA1"/>
    <w:rsid w:val="00A7045E"/>
    <w:rsid w:val="00A716B6"/>
    <w:rsid w:val="00A81509"/>
    <w:rsid w:val="00A953ED"/>
    <w:rsid w:val="00AB5CC2"/>
    <w:rsid w:val="00AB6197"/>
    <w:rsid w:val="00AC19FB"/>
    <w:rsid w:val="00B2002F"/>
    <w:rsid w:val="00B472C8"/>
    <w:rsid w:val="00B5066D"/>
    <w:rsid w:val="00B544F8"/>
    <w:rsid w:val="00B838C9"/>
    <w:rsid w:val="00B84C00"/>
    <w:rsid w:val="00B85967"/>
    <w:rsid w:val="00B85FE0"/>
    <w:rsid w:val="00B934B5"/>
    <w:rsid w:val="00BD1EE2"/>
    <w:rsid w:val="00BF0EEA"/>
    <w:rsid w:val="00C03C38"/>
    <w:rsid w:val="00C6103C"/>
    <w:rsid w:val="00CA2F4B"/>
    <w:rsid w:val="00CA6B5B"/>
    <w:rsid w:val="00CA6D3E"/>
    <w:rsid w:val="00CB3C32"/>
    <w:rsid w:val="00CD5986"/>
    <w:rsid w:val="00CD670D"/>
    <w:rsid w:val="00CE0DE8"/>
    <w:rsid w:val="00CE3536"/>
    <w:rsid w:val="00D32C45"/>
    <w:rsid w:val="00D40609"/>
    <w:rsid w:val="00D46677"/>
    <w:rsid w:val="00D512BF"/>
    <w:rsid w:val="00D6265A"/>
    <w:rsid w:val="00D676D8"/>
    <w:rsid w:val="00D76B69"/>
    <w:rsid w:val="00DA1806"/>
    <w:rsid w:val="00DA737D"/>
    <w:rsid w:val="00DB744E"/>
    <w:rsid w:val="00DD6EF3"/>
    <w:rsid w:val="00DF432C"/>
    <w:rsid w:val="00E01895"/>
    <w:rsid w:val="00E036A9"/>
    <w:rsid w:val="00E203B6"/>
    <w:rsid w:val="00E20EB2"/>
    <w:rsid w:val="00E2271C"/>
    <w:rsid w:val="00E22752"/>
    <w:rsid w:val="00E273A1"/>
    <w:rsid w:val="00E46966"/>
    <w:rsid w:val="00E860DB"/>
    <w:rsid w:val="00EA6D4A"/>
    <w:rsid w:val="00EC208E"/>
    <w:rsid w:val="00ED645F"/>
    <w:rsid w:val="00ED7CB5"/>
    <w:rsid w:val="00F01531"/>
    <w:rsid w:val="00F049EF"/>
    <w:rsid w:val="00F31BEF"/>
    <w:rsid w:val="00F4401D"/>
    <w:rsid w:val="00F64E51"/>
    <w:rsid w:val="00F70F0E"/>
    <w:rsid w:val="00F756D7"/>
    <w:rsid w:val="00F976CF"/>
    <w:rsid w:val="00FC0656"/>
    <w:rsid w:val="00FC71E8"/>
    <w:rsid w:val="00FF5650"/>
    <w:rsid w:val="213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semiHidden/>
    <w:unhideWhenUsed/>
    <w:qFormat/>
    <w:uiPriority w:val="99"/>
    <w:pPr>
      <w:spacing w:after="120" w:line="480" w:lineRule="auto"/>
    </w:pPr>
    <w:rPr>
      <w:rFonts w:ascii="Times New Roman" w:hAnsi="Times New Roman" w:eastAsia="宋体" w:cs="Times New Roman"/>
      <w:szCs w:val="20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纯文本 字符"/>
    <w:basedOn w:val="7"/>
    <w:link w:val="2"/>
    <w:semiHidden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2">
    <w:name w:val="正文文本 2 字符"/>
    <w:basedOn w:val="7"/>
    <w:link w:val="5"/>
    <w:semiHidden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1158</Characters>
  <Lines>9</Lines>
  <Paragraphs>2</Paragraphs>
  <TotalTime>159</TotalTime>
  <ScaleCrop>false</ScaleCrop>
  <LinksUpToDate>false</LinksUpToDate>
  <CharactersWithSpaces>1358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2017-03-02T02:11:00Z</dcterms:created>
  <dc:creator>姚利</dc:creator>
  <cp:lastModifiedBy>Sugar</cp:lastModifiedBy>
  <dcterms:modified xsi:type="dcterms:W3CDTF">2019-03-15T08:00:21Z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