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jc w:val="center"/>
        <w:rPr>
          <w:rFonts w:hint="eastAsia" w:ascii="方正小标宋简体" w:hAnsi="方正小标宋简体" w:eastAsia="方正小标宋简体" w:cs="方正小标宋简体"/>
          <w:b/>
          <w:bCs/>
          <w:color w:val="000000"/>
          <w:sz w:val="40"/>
          <w:szCs w:val="40"/>
          <w:lang w:val="en-US" w:eastAsia="zh-CN"/>
        </w:rPr>
      </w:pPr>
      <w:r>
        <w:rPr>
          <w:rFonts w:hint="eastAsia" w:ascii="方正小标宋简体" w:hAnsi="方正小标宋简体" w:eastAsia="方正小标宋简体" w:cs="方正小标宋简体"/>
          <w:b/>
          <w:bCs/>
          <w:color w:val="000000"/>
          <w:sz w:val="40"/>
          <w:szCs w:val="40"/>
          <w:lang w:val="en-US" w:eastAsia="zh-CN"/>
        </w:rPr>
        <w:t xml:space="preserve"> </w:t>
      </w:r>
    </w:p>
    <w:p>
      <w:pPr>
        <w:spacing w:line="240" w:lineRule="exact"/>
        <w:jc w:val="center"/>
        <w:rPr>
          <w:rFonts w:hint="eastAsia" w:ascii="方正小标宋简体" w:hAnsi="方正小标宋简体" w:eastAsia="方正小标宋简体" w:cs="方正小标宋简体"/>
          <w:b/>
          <w:bCs/>
          <w:color w:val="000000"/>
          <w:sz w:val="40"/>
          <w:szCs w:val="40"/>
          <w:lang w:val="en-US" w:eastAsia="zh-CN"/>
        </w:rPr>
      </w:pPr>
    </w:p>
    <w:p>
      <w:pPr>
        <w:spacing w:line="240" w:lineRule="exact"/>
        <w:jc w:val="center"/>
        <w:rPr>
          <w:rFonts w:hint="eastAsia" w:ascii="方正小标宋简体" w:hAnsi="方正小标宋简体" w:eastAsia="方正小标宋简体" w:cs="方正小标宋简体"/>
          <w:b/>
          <w:bCs/>
          <w:color w:val="000000"/>
          <w:sz w:val="40"/>
          <w:szCs w:val="40"/>
          <w:lang w:val="en-US" w:eastAsia="zh-CN"/>
        </w:rPr>
      </w:pPr>
    </w:p>
    <w:tbl>
      <w:tblPr>
        <w:tblStyle w:val="5"/>
        <w:tblW w:w="14640"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1320"/>
        <w:gridCol w:w="696"/>
        <w:gridCol w:w="7956"/>
        <w:gridCol w:w="1128"/>
        <w:gridCol w:w="1104"/>
        <w:gridCol w:w="1452"/>
        <w:gridCol w:w="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49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序号</w:t>
            </w:r>
          </w:p>
        </w:tc>
        <w:tc>
          <w:tcPr>
            <w:tcW w:w="1320"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填报单位</w:t>
            </w:r>
          </w:p>
        </w:tc>
        <w:tc>
          <w:tcPr>
            <w:tcW w:w="8652" w:type="dxa"/>
            <w:gridSpan w:val="2"/>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急需解决技术问题详细描述</w:t>
            </w:r>
          </w:p>
        </w:tc>
        <w:tc>
          <w:tcPr>
            <w:tcW w:w="1128"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专业</w:t>
            </w:r>
          </w:p>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领域</w:t>
            </w:r>
          </w:p>
        </w:tc>
        <w:tc>
          <w:tcPr>
            <w:tcW w:w="1104"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合作</w:t>
            </w:r>
          </w:p>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方式</w:t>
            </w:r>
          </w:p>
        </w:tc>
        <w:tc>
          <w:tcPr>
            <w:tcW w:w="145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联系人及</w:t>
            </w:r>
          </w:p>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联系方式</w:t>
            </w:r>
          </w:p>
        </w:tc>
        <w:tc>
          <w:tcPr>
            <w:tcW w:w="49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blHeader/>
        </w:trPr>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c>
          <w:tcPr>
            <w:tcW w:w="1320"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c>
          <w:tcPr>
            <w:tcW w:w="696"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黑体" w:cs="Times New Roman"/>
                <w:b/>
                <w:bCs/>
                <w:sz w:val="24"/>
                <w:szCs w:val="24"/>
              </w:rPr>
            </w:pPr>
            <w:r>
              <w:rPr>
                <w:rFonts w:hint="default" w:ascii="Times New Roman" w:hAnsi="Times New Roman" w:eastAsia="黑体" w:cs="Times New Roman"/>
                <w:b/>
                <w:bCs/>
                <w:sz w:val="22"/>
                <w:szCs w:val="22"/>
              </w:rPr>
              <w:t>编号</w:t>
            </w:r>
          </w:p>
        </w:tc>
        <w:tc>
          <w:tcPr>
            <w:tcW w:w="7956"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具体内容</w:t>
            </w:r>
          </w:p>
        </w:tc>
        <w:tc>
          <w:tcPr>
            <w:tcW w:w="1128"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c>
          <w:tcPr>
            <w:tcW w:w="1104"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c>
          <w:tcPr>
            <w:tcW w:w="145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0" w:hRule="atLeast"/>
        </w:trPr>
        <w:tc>
          <w:tcPr>
            <w:tcW w:w="49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lang w:val="en-US" w:eastAsia="zh-CN"/>
              </w:rPr>
            </w:pPr>
            <w:r>
              <w:rPr>
                <w:rFonts w:hint="default" w:ascii="Times New Roman" w:hAnsi="Times New Roman" w:eastAsia="仿宋_GB2312" w:cs="Times New Roman"/>
                <w:b/>
                <w:bCs/>
                <w:sz w:val="21"/>
                <w:szCs w:val="21"/>
                <w:lang w:val="en-US" w:eastAsia="zh-CN"/>
              </w:rPr>
              <w:t>1</w:t>
            </w:r>
          </w:p>
        </w:tc>
        <w:tc>
          <w:tcPr>
            <w:tcW w:w="1320" w:type="dxa"/>
            <w:vMerge w:val="restart"/>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通裕重工股份有限公司</w:t>
            </w: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1</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大型结构件自动化焊接设备及技术：产品特点：1、产品结构复杂；2、板厚不均，从8mm至100mm不等；3、产品重量大，从几吨到几十吨不等；4、产品直径大，一般在4米以上。</w:t>
            </w:r>
          </w:p>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技术指标：1、满足平、横、立三种焊接位置。焊缝探伤级别达到NB/T47013.3   I 级； 2、较为简易便捷的使用程序，可由三维图型直接生成程序；3、准确的定位系统，可以自动跟踪焊缝。比如焊接过程中工件发生变形，自动跟踪系统可以修正焊接路线；4、有一定的容错率及较强的适应性。比如坡口尺寸精度、装配尺寸精度等。</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装备制造</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技术合作</w:t>
            </w:r>
          </w:p>
        </w:tc>
        <w:tc>
          <w:tcPr>
            <w:tcW w:w="145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李明18266151168</w:t>
            </w:r>
          </w:p>
        </w:tc>
        <w:tc>
          <w:tcPr>
            <w:tcW w:w="49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8" w:hRule="atLeast"/>
        </w:trPr>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rPr>
            </w:pPr>
          </w:p>
        </w:tc>
        <w:tc>
          <w:tcPr>
            <w:tcW w:w="1320" w:type="dxa"/>
            <w:vMerge w:val="continue"/>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2</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超超临界百万千瓦汽轮机高压转子研制 ： 1、采用特种钢锭冶炼工艺，尽量降低钢锭中气体含量和有害元素，保证高纯净度及材料均匀性；2、钢锭、毛坯尺寸较大，锻造过程严格控制各部位锻比，降低偏析、细化晶粒；3、热处理过程控制组织转变，提高产品综合性能，满足客户要求。</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装备制造</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技术合作</w:t>
            </w:r>
          </w:p>
        </w:tc>
        <w:tc>
          <w:tcPr>
            <w:tcW w:w="145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p>
        </w:tc>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rPr>
            </w:pPr>
          </w:p>
        </w:tc>
        <w:tc>
          <w:tcPr>
            <w:tcW w:w="1320" w:type="dxa"/>
            <w:vMerge w:val="continue"/>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3</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大型支撑辊研发：根据产品生产需要，对冶炼、锻造、热处理各工序进行工艺设计及生产现场施工指导，对生产过程中所需设备提出使用要求指标和工装设计工作。对生产中发生质量问题进行原因分析并给出预防措施和解决方案</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装备制造</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技术合作</w:t>
            </w:r>
          </w:p>
        </w:tc>
        <w:tc>
          <w:tcPr>
            <w:tcW w:w="145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p>
        </w:tc>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0" w:hRule="atLeast"/>
        </w:trPr>
        <w:tc>
          <w:tcPr>
            <w:tcW w:w="49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lang w:val="en-US" w:eastAsia="zh-CN"/>
              </w:rPr>
            </w:pPr>
            <w:r>
              <w:rPr>
                <w:rFonts w:hint="default" w:ascii="Times New Roman" w:hAnsi="Times New Roman" w:eastAsia="仿宋_GB2312" w:cs="Times New Roman"/>
                <w:b/>
                <w:bCs/>
                <w:sz w:val="21"/>
                <w:szCs w:val="21"/>
                <w:lang w:val="en-US" w:eastAsia="zh-CN"/>
              </w:rPr>
              <w:t>2</w:t>
            </w:r>
          </w:p>
        </w:tc>
        <w:tc>
          <w:tcPr>
            <w:tcW w:w="1320" w:type="dxa"/>
            <w:vMerge w:val="restart"/>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保龄宝生物股份有限公司</w:t>
            </w: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4</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新型功能糖产品人乳寡糖开发研究：生物法制备2'-岩藻糖基乳糖（2'-FL）, 预期获得α-1,2-岩藻糖基转移酶的安全菌株；实现α-1,2-岩藻糖基转移酶的高效连续催化；获得合适的分离纯化方法，完成2'-岩藻糖基乳糖的高效分离及产品精制得到符合标准的2'-岩藻糖基乳糖的晶体</w:t>
            </w:r>
            <w:bookmarkStart w:id="0" w:name="_GoBack"/>
            <w:bookmarkEnd w:id="0"/>
            <w:r>
              <w:rPr>
                <w:rFonts w:hint="default" w:ascii="Times New Roman" w:hAnsi="Times New Roman" w:cs="Times New Roman"/>
                <w:b/>
                <w:bCs/>
                <w:sz w:val="21"/>
                <w:szCs w:val="21"/>
                <w:lang w:eastAsia="zh-CN"/>
              </w:rPr>
              <w:t>产品。</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生物技术</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共同开发</w:t>
            </w:r>
          </w:p>
        </w:tc>
        <w:tc>
          <w:tcPr>
            <w:tcW w:w="145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张倩</w:t>
            </w:r>
          </w:p>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15910073371</w:t>
            </w:r>
          </w:p>
        </w:tc>
        <w:tc>
          <w:tcPr>
            <w:tcW w:w="49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4" w:hRule="atLeast"/>
        </w:trPr>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rPr>
            </w:pPr>
          </w:p>
        </w:tc>
        <w:tc>
          <w:tcPr>
            <w:tcW w:w="1320" w:type="dxa"/>
            <w:vMerge w:val="continue"/>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5</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生物法制备D-阿洛酮糖的技术研究L: D-阿洛酮糖生产用酶（D-阿洛酮糖-3 差向异构酶）高效制备、酶转化以及晶体制备. 预期获得产高热稳定D-阿洛酮糖-3 差向异构酶（DPE 酶）的基因工程安全菌；研究DPE酶的高效发酵制备工艺，实现酶转化率大于30%；筛选分离效果最优的工艺，并进行连续循环操作，实现纯度≥98%产品开发，通过过饱和溶液结晶制备纯度大于99%的D-阿洛酮糖晶体，一次结晶收率大于45%，制备出高纯度的D-阿洛酮糖固体产品。</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生物技术</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共同开发</w:t>
            </w:r>
          </w:p>
        </w:tc>
        <w:tc>
          <w:tcPr>
            <w:tcW w:w="145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p>
        </w:tc>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49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lang w:val="en-US" w:eastAsia="zh-CN"/>
              </w:rPr>
            </w:pPr>
            <w:r>
              <w:rPr>
                <w:rFonts w:hint="default" w:ascii="Times New Roman" w:hAnsi="Times New Roman" w:eastAsia="仿宋_GB2312" w:cs="Times New Roman"/>
                <w:b/>
                <w:bCs/>
                <w:sz w:val="21"/>
                <w:szCs w:val="21"/>
                <w:lang w:val="en-US" w:eastAsia="zh-CN"/>
              </w:rPr>
              <w:t>3</w:t>
            </w:r>
          </w:p>
        </w:tc>
        <w:tc>
          <w:tcPr>
            <w:tcW w:w="1320" w:type="dxa"/>
            <w:vMerge w:val="restart"/>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禹城保立康生物饲料有限公司</w:t>
            </w: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6</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val="en-US" w:eastAsia="zh-CN"/>
              </w:rPr>
              <w:t>如何去除或降低玉米蛋白粉毒素</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生物技术</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技术合作</w:t>
            </w:r>
          </w:p>
        </w:tc>
        <w:tc>
          <w:tcPr>
            <w:tcW w:w="145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王永梅：18315895510</w:t>
            </w:r>
          </w:p>
        </w:tc>
        <w:tc>
          <w:tcPr>
            <w:tcW w:w="49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rPr>
            </w:pPr>
          </w:p>
        </w:tc>
        <w:tc>
          <w:tcPr>
            <w:tcW w:w="1320" w:type="dxa"/>
            <w:vMerge w:val="continue"/>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7</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功能糖结块问题</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生物技术</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技术合作</w:t>
            </w:r>
          </w:p>
        </w:tc>
        <w:tc>
          <w:tcPr>
            <w:tcW w:w="145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p>
        </w:tc>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rPr>
            </w:pPr>
          </w:p>
        </w:tc>
        <w:tc>
          <w:tcPr>
            <w:tcW w:w="1320" w:type="dxa"/>
            <w:vMerge w:val="continue"/>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8</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如何解决糖渣自燃</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生物技术</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技术合作</w:t>
            </w:r>
          </w:p>
        </w:tc>
        <w:tc>
          <w:tcPr>
            <w:tcW w:w="145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p>
        </w:tc>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rPr>
            </w:pPr>
          </w:p>
        </w:tc>
        <w:tc>
          <w:tcPr>
            <w:tcW w:w="1320" w:type="dxa"/>
            <w:vMerge w:val="continue"/>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9</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如何更好建立改善宠物肠道健康的营养调控方案</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生物技术</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技术合作</w:t>
            </w:r>
          </w:p>
        </w:tc>
        <w:tc>
          <w:tcPr>
            <w:tcW w:w="145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p>
        </w:tc>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rPr>
            </w:pPr>
          </w:p>
        </w:tc>
        <w:tc>
          <w:tcPr>
            <w:tcW w:w="1320" w:type="dxa"/>
            <w:vMerge w:val="continue"/>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10</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观赏鱼的水质净化及观赏鱼的疾病预防与治疗</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生物技术</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技术合作</w:t>
            </w:r>
          </w:p>
        </w:tc>
        <w:tc>
          <w:tcPr>
            <w:tcW w:w="145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p>
        </w:tc>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rPr>
            </w:pPr>
          </w:p>
        </w:tc>
        <w:tc>
          <w:tcPr>
            <w:tcW w:w="1320" w:type="dxa"/>
            <w:vMerge w:val="continue"/>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11</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如何建立公司采购销售生产大数据、精益管理、卓越绩效模式</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计算机领域</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技术引进</w:t>
            </w:r>
          </w:p>
        </w:tc>
        <w:tc>
          <w:tcPr>
            <w:tcW w:w="145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p>
        </w:tc>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49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lang w:val="en-US" w:eastAsia="zh-CN"/>
              </w:rPr>
            </w:pPr>
            <w:r>
              <w:rPr>
                <w:rFonts w:hint="default" w:ascii="Times New Roman" w:hAnsi="Times New Roman" w:eastAsia="仿宋_GB2312" w:cs="Times New Roman"/>
                <w:b/>
                <w:bCs/>
                <w:sz w:val="21"/>
                <w:szCs w:val="21"/>
                <w:lang w:val="en-US" w:eastAsia="zh-CN"/>
              </w:rPr>
              <w:t>4</w:t>
            </w:r>
          </w:p>
        </w:tc>
        <w:tc>
          <w:tcPr>
            <w:tcW w:w="1320" w:type="dxa"/>
            <w:vMerge w:val="restart"/>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山东龙力生物科技股份有限公司</w:t>
            </w: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12</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燃料乙醇相关酶制剂、戊糖和己糖共发酵技术、高效预处理、脱毒技术及半纤维素水解液高值化技术</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生物技术</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共同研发成果转化</w:t>
            </w:r>
          </w:p>
        </w:tc>
        <w:tc>
          <w:tcPr>
            <w:tcW w:w="145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夏蕊蕊</w:t>
            </w:r>
          </w:p>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15965211586</w:t>
            </w:r>
          </w:p>
        </w:tc>
        <w:tc>
          <w:tcPr>
            <w:tcW w:w="49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rPr>
            </w:pPr>
          </w:p>
        </w:tc>
        <w:tc>
          <w:tcPr>
            <w:tcW w:w="1320" w:type="dxa"/>
            <w:vMerge w:val="continue"/>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13</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形成木质素以分散剂、高端石墨烯产品的制备工艺技术，并在染料分散剂、农药分散剂等高端产品中应用，实现其产业化</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生物技术</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共同研发成果转化</w:t>
            </w:r>
          </w:p>
        </w:tc>
        <w:tc>
          <w:tcPr>
            <w:tcW w:w="145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p>
        </w:tc>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atLeast"/>
        </w:trPr>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rPr>
            </w:pPr>
          </w:p>
        </w:tc>
        <w:tc>
          <w:tcPr>
            <w:tcW w:w="1320" w:type="dxa"/>
            <w:vMerge w:val="continue"/>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14</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实现以农业剩余物加工过程中污水处理后的活性污泥为原料，实现污泥的无害化及资源化利用；以污泥、酒糟及生产燃料乙醇过程中的固体废弃物为原料，在高温腐熟、液体酶解和酵母发酵腐熟后的固体残渣为原料实现高端有机肥的制造；并根据作物营养代谢需求形成种植应用技术并推广</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生物技术</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共同研发</w:t>
            </w:r>
          </w:p>
        </w:tc>
        <w:tc>
          <w:tcPr>
            <w:tcW w:w="145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p>
        </w:tc>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rPr>
            </w:pPr>
          </w:p>
        </w:tc>
        <w:tc>
          <w:tcPr>
            <w:tcW w:w="1320" w:type="dxa"/>
            <w:vMerge w:val="continue"/>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15</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新型功能糖及功能性活性物质制备及应用技术</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生物技术</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共同研发成果转化</w:t>
            </w:r>
          </w:p>
        </w:tc>
        <w:tc>
          <w:tcPr>
            <w:tcW w:w="145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p>
        </w:tc>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trPr>
        <w:tc>
          <w:tcPr>
            <w:tcW w:w="49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lang w:val="en-US" w:eastAsia="zh-CN"/>
              </w:rPr>
            </w:pPr>
            <w:r>
              <w:rPr>
                <w:rFonts w:hint="default" w:ascii="Times New Roman" w:hAnsi="Times New Roman" w:eastAsia="仿宋_GB2312" w:cs="Times New Roman"/>
                <w:b/>
                <w:bCs/>
                <w:sz w:val="21"/>
                <w:szCs w:val="21"/>
                <w:lang w:val="en-US" w:eastAsia="zh-CN"/>
              </w:rPr>
              <w:t>5</w:t>
            </w:r>
          </w:p>
        </w:tc>
        <w:tc>
          <w:tcPr>
            <w:tcW w:w="1320" w:type="dxa"/>
            <w:vMerge w:val="restart"/>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山东禹王生态食业有限公司</w:t>
            </w: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16</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如何降低低温豆粕中豆渣残蛋白的含量，提高蛋白得率？</w:t>
            </w:r>
          </w:p>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如何提高大豆分离蛋白的快速乳化性？</w:t>
            </w:r>
          </w:p>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大豆分离蛋白的生产工艺过程中如何控制使制作的千叶豆腐细腻、滑润？</w:t>
            </w:r>
          </w:p>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干燥蒸汽换热器的结构及疏水系统如何布局提高蒸汽利用效率？</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生物技术</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技术合作</w:t>
            </w:r>
          </w:p>
        </w:tc>
        <w:tc>
          <w:tcPr>
            <w:tcW w:w="145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万华松15066527167</w:t>
            </w:r>
          </w:p>
        </w:tc>
        <w:tc>
          <w:tcPr>
            <w:tcW w:w="49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rPr>
            </w:pPr>
          </w:p>
        </w:tc>
        <w:tc>
          <w:tcPr>
            <w:tcW w:w="1320" w:type="dxa"/>
            <w:vMerge w:val="continue"/>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17</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如何提高分离蛋白溶解性能</w:t>
            </w:r>
          </w:p>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如何提高分离蛋白、水解蛋白的颜色</w:t>
            </w:r>
          </w:p>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如何提高水解蛋白的溶解和风味性能</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生物技术</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技术合作</w:t>
            </w:r>
          </w:p>
        </w:tc>
        <w:tc>
          <w:tcPr>
            <w:tcW w:w="145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许建 18765537770</w:t>
            </w:r>
          </w:p>
        </w:tc>
        <w:tc>
          <w:tcPr>
            <w:tcW w:w="49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rPr>
            </w:pPr>
          </w:p>
        </w:tc>
        <w:tc>
          <w:tcPr>
            <w:tcW w:w="1320" w:type="dxa"/>
            <w:vMerge w:val="continue"/>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18</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如何低成本实现豆青水的重复利用，实现零排放。</w:t>
            </w:r>
          </w:p>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如何用最短的时间快速降低总磷和总氮。</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生物技术</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技术合作</w:t>
            </w:r>
          </w:p>
        </w:tc>
        <w:tc>
          <w:tcPr>
            <w:tcW w:w="145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于桂霞  18266167463</w:t>
            </w:r>
          </w:p>
        </w:tc>
        <w:tc>
          <w:tcPr>
            <w:tcW w:w="49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rPr>
            </w:pPr>
          </w:p>
        </w:tc>
        <w:tc>
          <w:tcPr>
            <w:tcW w:w="1320" w:type="dxa"/>
            <w:vMerge w:val="continue"/>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19</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反渗透膜的污堵及后期的清洗；</w:t>
            </w:r>
          </w:p>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锅炉水汽指标恶化，给锅炉造成的长远危害，补救方法及处理；</w:t>
            </w:r>
          </w:p>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关于电厂水处理滤料的选型及过滤装置的填料填装问题；</w:t>
            </w:r>
          </w:p>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新投运锅炉的煮炉、烘炉问题及药品的添加和控制；</w:t>
            </w:r>
          </w:p>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自备电厂2008年建设，锅炉、发电机组等生产设备监视、调整方式采用DCS控制，现需要进行自动化、智能化改造，需专家针对电厂智能化改造给予指导；</w:t>
            </w:r>
          </w:p>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电厂主厂房内主控室与主蒸汽管道靠的近，从安全角度来说，主厂房设计存在严重安全风险，针对目前布局，如何采取防护措施来消除安全隐患。</w:t>
            </w:r>
          </w:p>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现生态食业有限公司禹城蛋白、电厂、给排水、深加工公司电量计量、蒸汽计量没有科学的结算方式，存在电量计量有缺口、蒸汽用量有缺口，针对现有问题拿出科学计量电量和蒸汽的方案，有利于公司之间的结算。</w:t>
            </w:r>
          </w:p>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电厂汽轮机组的效率决定于进汽、排汽压力的高低，在进汽压力高、排汽压力低时，机组效率高；在进汽压力高，排汽压力高时，机组效率要降低。蛋白公司要求汽机排汽压力越高越好，为了提高蛋白公司换热效率，多出产量。排汽压力高，还使发电机组吨汽发电量降低。这种热效率与蛋白产量的矛盾，不能最大的降低成本，针对此矛盾给予生产和利润的分析，目的是既提高蛋白产量又能提高机组热效率。</w:t>
            </w:r>
          </w:p>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禹王生态食业有限公司现有每天7万方左右的沼气产量，进入燃气发电机组发电，沼气热值利用率低。随着环保要求的提高，提高沼气热值利用率，考虑沼气可进入锅炉掺烧。沼气利用最好的方式是建立燃气轮发电机组。针对现有情况，请给予沼气最佳利用方案。</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装备制造</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技术合作</w:t>
            </w:r>
          </w:p>
        </w:tc>
        <w:tc>
          <w:tcPr>
            <w:tcW w:w="145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万风雷  15053430137</w:t>
            </w:r>
          </w:p>
        </w:tc>
        <w:tc>
          <w:tcPr>
            <w:tcW w:w="49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49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lang w:val="en-US" w:eastAsia="zh-CN"/>
              </w:rPr>
            </w:pPr>
            <w:r>
              <w:rPr>
                <w:rFonts w:hint="default" w:ascii="Times New Roman" w:hAnsi="Times New Roman" w:eastAsia="仿宋_GB2312" w:cs="Times New Roman"/>
                <w:b/>
                <w:bCs/>
                <w:sz w:val="21"/>
                <w:szCs w:val="21"/>
                <w:lang w:val="en-US" w:eastAsia="zh-CN"/>
              </w:rPr>
              <w:t>6</w:t>
            </w:r>
          </w:p>
        </w:tc>
        <w:tc>
          <w:tcPr>
            <w:tcW w:w="1320" w:type="dxa"/>
            <w:vMerge w:val="restart"/>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山东禹王制药有限公司</w:t>
            </w: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20</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淀粉基植物软胶囊研制技术：替代明胶材质，制备植物性的软胶囊囊壳</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生物医药</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建设平台合作模式</w:t>
            </w:r>
          </w:p>
        </w:tc>
        <w:tc>
          <w:tcPr>
            <w:tcW w:w="145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马良</w:t>
            </w:r>
          </w:p>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15753454360</w:t>
            </w:r>
          </w:p>
        </w:tc>
        <w:tc>
          <w:tcPr>
            <w:tcW w:w="49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rPr>
            </w:pPr>
          </w:p>
        </w:tc>
        <w:tc>
          <w:tcPr>
            <w:tcW w:w="1320" w:type="dxa"/>
            <w:vMerge w:val="continue"/>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21</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高含量医药级鱼油精制技术：优选精制纯化技术，制备多烯酸含量达到90%的精制鱼油，同时降低环境污染</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生物医药</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建设平台合作模式</w:t>
            </w:r>
          </w:p>
        </w:tc>
        <w:tc>
          <w:tcPr>
            <w:tcW w:w="145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p>
        </w:tc>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rPr>
            </w:pPr>
          </w:p>
        </w:tc>
        <w:tc>
          <w:tcPr>
            <w:tcW w:w="1320" w:type="dxa"/>
            <w:vMerge w:val="continue"/>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22</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氨氮废水处理设备</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生物医药</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建设平台合作模式</w:t>
            </w:r>
          </w:p>
        </w:tc>
        <w:tc>
          <w:tcPr>
            <w:tcW w:w="145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p>
        </w:tc>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0" w:hRule="atLeast"/>
        </w:trPr>
        <w:tc>
          <w:tcPr>
            <w:tcW w:w="49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lang w:val="en-US" w:eastAsia="zh-CN"/>
              </w:rPr>
            </w:pPr>
            <w:r>
              <w:rPr>
                <w:rFonts w:hint="default" w:ascii="Times New Roman" w:hAnsi="Times New Roman" w:eastAsia="仿宋_GB2312" w:cs="Times New Roman"/>
                <w:b/>
                <w:bCs/>
                <w:sz w:val="21"/>
                <w:szCs w:val="21"/>
                <w:lang w:val="en-US" w:eastAsia="zh-CN"/>
              </w:rPr>
              <w:t>7</w:t>
            </w:r>
          </w:p>
        </w:tc>
        <w:tc>
          <w:tcPr>
            <w:tcW w:w="1320" w:type="dxa"/>
            <w:vMerge w:val="restart"/>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山东福田药业有限公司</w:t>
            </w: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23</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玉米芯资源深度开发利用技术：福田药业公司拟在玉米芯制糖深加工技术等方面需求合作，主要包括生产玉米芯生产木糖、木糖醇，纤维素和木质素深加工产品等开发技术。预期采用生物法替代传统化学法，节约酸碱及资源消耗，提高产品的得率等。通常生物法制纤维素主要采用纤维素酶，纤维素酶的生产工艺主要有两种，即固体发酵和液体发酵，通过发酵法获得纤维素酶的安全菌株，实现纤维素酶的高效催化，达到初始pH7.5、加水4倍、在26-31℃条件下培养45h可获得最大产酶量26mg/g和CMC酶活力20mg/g·h。完成纤维素、木质素等的高效分离及产品精制得到符合标准的晶体产品。</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生物技术</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合作开发</w:t>
            </w:r>
          </w:p>
        </w:tc>
        <w:tc>
          <w:tcPr>
            <w:tcW w:w="145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王关斌</w:t>
            </w:r>
          </w:p>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18105340909</w:t>
            </w:r>
          </w:p>
        </w:tc>
        <w:tc>
          <w:tcPr>
            <w:tcW w:w="49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2" w:hRule="atLeast"/>
        </w:trPr>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rPr>
            </w:pPr>
          </w:p>
        </w:tc>
        <w:tc>
          <w:tcPr>
            <w:tcW w:w="1320" w:type="dxa"/>
            <w:vMerge w:val="continue"/>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24</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功能糖领域酶制剂开发：福田药业公司拟在功能糖制备领域的酶制剂开发等方面需求合作，例如制备异麦芽酮糖的蔗糖异构酶、制备海藻糖的海藻糖合酶。预期获得蔗糖异构酶的菌株表达，用于转化蔗糖生产异麦芽酮糖，制备的蔗糖异构酶转化蔗糖生成异麦芽酮糖的纯度在98%以上，反应底物浓度在400g/</w:t>
            </w:r>
            <w:r>
              <w:rPr>
                <w:rFonts w:hint="default" w:ascii="Times New Roman" w:hAnsi="Times New Roman" w:cs="Times New Roman"/>
                <w:b/>
                <w:bCs/>
                <w:sz w:val="21"/>
                <w:szCs w:val="21"/>
                <w:lang w:val="en-US" w:eastAsia="zh-CN"/>
              </w:rPr>
              <w:t>L</w:t>
            </w:r>
            <w:r>
              <w:rPr>
                <w:rFonts w:hint="default" w:ascii="Times New Roman" w:hAnsi="Times New Roman" w:cs="Times New Roman"/>
                <w:b/>
                <w:bCs/>
                <w:sz w:val="21"/>
                <w:szCs w:val="21"/>
                <w:lang w:eastAsia="zh-CN"/>
              </w:rPr>
              <w:t>以上；针对海藻糖的制备，预期通过载体构建重组表达质粒,并在大肠杆菌(E</w:t>
            </w:r>
            <w:r>
              <w:rPr>
                <w:rFonts w:hint="default" w:ascii="Times New Roman" w:hAnsi="Times New Roman" w:cs="Times New Roman"/>
                <w:b/>
                <w:bCs/>
                <w:sz w:val="21"/>
                <w:szCs w:val="21"/>
                <w:lang w:val="en-US" w:eastAsia="zh-CN"/>
              </w:rPr>
              <w:t>.</w:t>
            </w:r>
            <w:r>
              <w:rPr>
                <w:rFonts w:hint="default" w:ascii="Times New Roman" w:hAnsi="Times New Roman" w:cs="Times New Roman"/>
                <w:b/>
                <w:bCs/>
                <w:sz w:val="21"/>
                <w:szCs w:val="21"/>
                <w:lang w:eastAsia="zh-CN"/>
              </w:rPr>
              <w:t>coli)中诱导表达，获得了海藻糖合酶高酶活重组菌。实现在45℃及相应反应条件下催化反应4h，海藻糖含量可达94.1g/L，在35℃及相应反应条件下催化反应12h，转化率为68.0%。</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生物技术</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合作开发</w:t>
            </w:r>
          </w:p>
        </w:tc>
        <w:tc>
          <w:tcPr>
            <w:tcW w:w="145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p>
        </w:tc>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49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lang w:val="en-US" w:eastAsia="zh-CN"/>
              </w:rPr>
            </w:pPr>
            <w:r>
              <w:rPr>
                <w:rFonts w:hint="eastAsia" w:ascii="Times New Roman" w:hAnsi="Times New Roman" w:eastAsia="仿宋_GB2312" w:cs="Times New Roman"/>
                <w:b/>
                <w:bCs/>
                <w:sz w:val="21"/>
                <w:szCs w:val="21"/>
                <w:lang w:val="en-US" w:eastAsia="zh-CN"/>
              </w:rPr>
              <w:t>8</w:t>
            </w:r>
          </w:p>
        </w:tc>
        <w:tc>
          <w:tcPr>
            <w:tcW w:w="1320"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val="en-US" w:eastAsia="zh-CN"/>
              </w:rPr>
              <w:t>东君乳业（禹城）有限公司</w:t>
            </w: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25</w:t>
            </w:r>
          </w:p>
        </w:tc>
        <w:tc>
          <w:tcPr>
            <w:tcW w:w="7956" w:type="dxa"/>
            <w:vAlign w:val="top"/>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val="en-US" w:eastAsia="zh-CN"/>
              </w:rPr>
              <w:t xml:space="preserve"> </w:t>
            </w:r>
            <w:r>
              <w:rPr>
                <w:rFonts w:hint="default" w:ascii="Times New Roman" w:hAnsi="Times New Roman" w:cs="Times New Roman"/>
                <w:b/>
                <w:bCs/>
                <w:sz w:val="21"/>
                <w:szCs w:val="21"/>
                <w:lang w:eastAsia="zh-CN"/>
              </w:rPr>
              <w:t>目前无添加酸奶采用鲜奶、白糖、菌种进行发酵，因其不添加稳定剂，产品在保质期内容易水析。需求：</w:t>
            </w:r>
          </w:p>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⑴酸奶的后酸化问题：发酵菌种在常温下发酵速度的控制问题。</w:t>
            </w:r>
          </w:p>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⑵探求只通过菌种发酵，不添加任何添加剂，就能达到酸奶的粘度和保水性，并且其保质期要求21天左右的技术。</w:t>
            </w:r>
          </w:p>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⑶在菌种方面如何提高产品的发酵风味，使之更受消费者青睐。</w:t>
            </w:r>
          </w:p>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⑷菌种后酸化的控制技术探求。</w:t>
            </w:r>
          </w:p>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⑸有关抑菌菌种使用效果及其不良影响的控制问题。</w:t>
            </w:r>
          </w:p>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生物技术</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技术合作</w:t>
            </w:r>
          </w:p>
        </w:tc>
        <w:tc>
          <w:tcPr>
            <w:tcW w:w="1452"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eastAsia="zh-CN"/>
              </w:rPr>
              <w:t>周梅18253425880</w:t>
            </w:r>
          </w:p>
        </w:tc>
        <w:tc>
          <w:tcPr>
            <w:tcW w:w="49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49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lang w:val="en-US" w:eastAsia="zh-CN"/>
              </w:rPr>
            </w:pPr>
            <w:r>
              <w:rPr>
                <w:rFonts w:hint="eastAsia" w:ascii="Times New Roman" w:hAnsi="Times New Roman" w:eastAsia="仿宋_GB2312" w:cs="Times New Roman"/>
                <w:b/>
                <w:bCs/>
                <w:sz w:val="21"/>
                <w:szCs w:val="21"/>
                <w:lang w:val="en-US" w:eastAsia="zh-CN"/>
              </w:rPr>
              <w:t>9</w:t>
            </w:r>
          </w:p>
        </w:tc>
        <w:tc>
          <w:tcPr>
            <w:tcW w:w="1320"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山东福航新能源环保股份有限公司</w:t>
            </w: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26</w:t>
            </w:r>
          </w:p>
        </w:tc>
        <w:tc>
          <w:tcPr>
            <w:tcW w:w="7956" w:type="dxa"/>
            <w:vAlign w:val="top"/>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新能源污泥处理技术需求：</w:t>
            </w:r>
            <w:r>
              <w:rPr>
                <w:rFonts w:hint="default" w:ascii="Times New Roman" w:hAnsi="Times New Roman" w:cs="Times New Roman"/>
                <w:b/>
                <w:bCs/>
                <w:sz w:val="21"/>
                <w:szCs w:val="21"/>
                <w:lang w:eastAsia="zh-CN"/>
              </w:rPr>
              <w:br w:type="textWrapping"/>
            </w:r>
            <w:r>
              <w:rPr>
                <w:rFonts w:hint="default" w:ascii="Times New Roman" w:hAnsi="Times New Roman" w:cs="Times New Roman"/>
                <w:b/>
                <w:bCs/>
                <w:sz w:val="21"/>
                <w:szCs w:val="21"/>
                <w:lang w:eastAsia="zh-CN"/>
              </w:rPr>
              <w:t>1、研究污泥在不同温度、湿度、温差环境条件下的蒸发速率，通过检测仪器控制污泥与室内温差、室内温度、湿度等条件下的水分蒸发速率，构建一套自动化控制软件，优化系统运行。</w:t>
            </w:r>
          </w:p>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2、研究一套散热器地面，能够使工业余热更好的为污泥提供干化能量。散热地面需具有散热系数高、耐腐蚀、便于安装，制作成本也应考虑。</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装备制造</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技术合作</w:t>
            </w:r>
          </w:p>
        </w:tc>
        <w:tc>
          <w:tcPr>
            <w:tcW w:w="1452"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孙红波15253430332</w:t>
            </w:r>
          </w:p>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p>
        </w:tc>
        <w:tc>
          <w:tcPr>
            <w:tcW w:w="49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49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lang w:val="en-US" w:eastAsia="zh-CN"/>
              </w:rPr>
            </w:pPr>
            <w:r>
              <w:rPr>
                <w:rFonts w:hint="eastAsia" w:ascii="Times New Roman" w:hAnsi="Times New Roman" w:eastAsia="仿宋_GB2312" w:cs="Times New Roman"/>
                <w:b/>
                <w:bCs/>
                <w:sz w:val="21"/>
                <w:szCs w:val="21"/>
                <w:lang w:val="en-US" w:eastAsia="zh-CN"/>
              </w:rPr>
              <w:t>10</w:t>
            </w:r>
          </w:p>
        </w:tc>
        <w:tc>
          <w:tcPr>
            <w:tcW w:w="1320"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山东德州恒特重工有限公司</w:t>
            </w: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27</w:t>
            </w:r>
          </w:p>
        </w:tc>
        <w:tc>
          <w:tcPr>
            <w:tcW w:w="7956" w:type="dxa"/>
            <w:vAlign w:val="top"/>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1.高级别球墨铸铁制造工艺，基体组织、性能控制，及球墨铸铁的热处理。</w:t>
            </w:r>
          </w:p>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2.液压阀体材质分析、铸造工艺，阀体造型、阀芯造型及缺陷解决及检测手段。</w:t>
            </w:r>
          </w:p>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3.铸件尺寸公差、几何公差及机械加工余量控制。</w:t>
            </w:r>
          </w:p>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4.覆膜砂造型工艺及问题解决</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装备制造</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技术合作</w:t>
            </w:r>
          </w:p>
        </w:tc>
        <w:tc>
          <w:tcPr>
            <w:tcW w:w="1452"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eastAsia="zh-CN"/>
              </w:rPr>
              <w:t>刘亮</w:t>
            </w:r>
            <w:r>
              <w:rPr>
                <w:rFonts w:hint="default" w:ascii="Times New Roman" w:hAnsi="Times New Roman" w:cs="Times New Roman"/>
                <w:b/>
                <w:bCs/>
                <w:sz w:val="21"/>
                <w:szCs w:val="21"/>
                <w:lang w:val="en-US" w:eastAsia="zh-CN"/>
              </w:rPr>
              <w:t>15269454101</w:t>
            </w:r>
          </w:p>
        </w:tc>
        <w:tc>
          <w:tcPr>
            <w:tcW w:w="49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49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lang w:val="en-US" w:eastAsia="zh-CN"/>
              </w:rPr>
            </w:pPr>
            <w:r>
              <w:rPr>
                <w:rFonts w:hint="eastAsia" w:ascii="Times New Roman" w:hAnsi="Times New Roman" w:eastAsia="仿宋_GB2312" w:cs="Times New Roman"/>
                <w:b/>
                <w:bCs/>
                <w:sz w:val="21"/>
                <w:szCs w:val="21"/>
                <w:lang w:val="en-US" w:eastAsia="zh-CN"/>
              </w:rPr>
              <w:t>11</w:t>
            </w:r>
          </w:p>
        </w:tc>
        <w:tc>
          <w:tcPr>
            <w:tcW w:w="1320"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山东禹王和天下新材料有限公司</w:t>
            </w: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2</w:t>
            </w:r>
            <w:r>
              <w:rPr>
                <w:rFonts w:hint="eastAsia" w:ascii="Times New Roman" w:hAnsi="Times New Roman" w:cs="Times New Roman"/>
                <w:b/>
                <w:bCs/>
                <w:sz w:val="21"/>
                <w:szCs w:val="21"/>
                <w:lang w:val="en-US" w:eastAsia="zh-CN"/>
              </w:rPr>
              <w:t>8</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能增强α-氰基丙烯酸酯在钕铁硼材料表面附着力的溶剂，并且该溶剂不会影响α-氰基丙烯酸酯的粘合力，希望与此类专家进行合作研究。</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新材料</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外聘</w:t>
            </w:r>
          </w:p>
        </w:tc>
        <w:tc>
          <w:tcPr>
            <w:tcW w:w="145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李国旗</w:t>
            </w:r>
          </w:p>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15949913688</w:t>
            </w:r>
          </w:p>
        </w:tc>
        <w:tc>
          <w:tcPr>
            <w:tcW w:w="49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49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lang w:val="en-US" w:eastAsia="zh-CN"/>
              </w:rPr>
            </w:pPr>
            <w:r>
              <w:rPr>
                <w:rFonts w:hint="eastAsia" w:ascii="Times New Roman" w:hAnsi="Times New Roman" w:eastAsia="仿宋_GB2312" w:cs="Times New Roman"/>
                <w:b/>
                <w:bCs/>
                <w:sz w:val="21"/>
                <w:szCs w:val="21"/>
                <w:lang w:val="en-US" w:eastAsia="zh-CN"/>
              </w:rPr>
              <w:t>12</w:t>
            </w:r>
          </w:p>
        </w:tc>
        <w:tc>
          <w:tcPr>
            <w:tcW w:w="1320"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val="en-US" w:eastAsia="zh-CN"/>
              </w:rPr>
              <w:t>山东迈特力重机有限公司</w:t>
            </w: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2</w:t>
            </w:r>
            <w:r>
              <w:rPr>
                <w:rFonts w:hint="eastAsia" w:ascii="Times New Roman" w:hAnsi="Times New Roman" w:cs="Times New Roman"/>
                <w:b/>
                <w:bCs/>
                <w:sz w:val="21"/>
                <w:szCs w:val="21"/>
                <w:lang w:val="en-US" w:eastAsia="zh-CN"/>
              </w:rPr>
              <w:t>9</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eastAsia="zh-CN"/>
              </w:rPr>
              <w:t>伺服压力机技术研发</w:t>
            </w:r>
          </w:p>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大型伺服压力机与传统机械压力机相比，不需要飞轮、能满足更复杂的运动特性要求，具有更高的精度和效率。大型伺服压机等先进装备具有广阔的市场前景和市场空间。</w:t>
            </w:r>
          </w:p>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伺服压力机达到的指标要求：1、柔性化、智能化生产；2、节能环保；在普通压力机中，飞轮空转耗能占总耗能的6%-30%，离合器耗能占总耗能的20%，伺服压力机取消飞轮和离合器，简化传动系统，节约能耗。3、精度高，生产效率提高，模具寿命高。</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装备制造</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合作开发</w:t>
            </w:r>
          </w:p>
        </w:tc>
        <w:tc>
          <w:tcPr>
            <w:tcW w:w="145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解德义</w:t>
            </w:r>
          </w:p>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18653466898</w:t>
            </w:r>
          </w:p>
        </w:tc>
        <w:tc>
          <w:tcPr>
            <w:tcW w:w="49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49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lang w:val="en-US" w:eastAsia="zh-CN"/>
              </w:rPr>
            </w:pPr>
            <w:r>
              <w:rPr>
                <w:rFonts w:hint="default" w:ascii="Times New Roman" w:hAnsi="Times New Roman" w:eastAsia="仿宋_GB2312" w:cs="Times New Roman"/>
                <w:b/>
                <w:bCs/>
                <w:sz w:val="21"/>
                <w:szCs w:val="21"/>
                <w:lang w:val="en-US" w:eastAsia="zh-CN"/>
              </w:rPr>
              <w:t>1</w:t>
            </w:r>
            <w:r>
              <w:rPr>
                <w:rFonts w:hint="eastAsia" w:ascii="Times New Roman" w:hAnsi="Times New Roman" w:eastAsia="仿宋_GB2312" w:cs="Times New Roman"/>
                <w:b/>
                <w:bCs/>
                <w:sz w:val="21"/>
                <w:szCs w:val="21"/>
                <w:lang w:val="en-US" w:eastAsia="zh-CN"/>
              </w:rPr>
              <w:t>3</w:t>
            </w:r>
          </w:p>
        </w:tc>
        <w:tc>
          <w:tcPr>
            <w:tcW w:w="1320" w:type="dxa"/>
            <w:vMerge w:val="restart"/>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山东百龙创园生物科技股份有限公司</w:t>
            </w: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30</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膳食纤维系列产品研究开发，整合抗性糊精、聚葡萄糖、低聚异麦芽糖等的膳食纤维产品已有的工艺技术，研究特膳、特医食品组件等相关产品组成，应用功能特性，推出特定功能的膳食纤维产品。</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生物技术</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合作开发</w:t>
            </w:r>
          </w:p>
        </w:tc>
        <w:tc>
          <w:tcPr>
            <w:tcW w:w="145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窦光朋13697693166</w:t>
            </w:r>
          </w:p>
        </w:tc>
        <w:tc>
          <w:tcPr>
            <w:tcW w:w="49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both"/>
              <w:textAlignment w:val="auto"/>
              <w:outlineLvl w:val="9"/>
              <w:rPr>
                <w:rFonts w:hint="default" w:ascii="Times New Roman" w:hAnsi="Times New Roman" w:eastAsia="仿宋_GB2312" w:cs="Times New Roman"/>
                <w:b/>
                <w:bCs/>
                <w:sz w:val="21"/>
                <w:szCs w:val="21"/>
                <w:lang w:val="en-US" w:eastAsia="zh-CN"/>
              </w:rPr>
            </w:pPr>
          </w:p>
        </w:tc>
        <w:tc>
          <w:tcPr>
            <w:tcW w:w="1320" w:type="dxa"/>
            <w:vMerge w:val="continue"/>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31</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研究肠道微生物的分布，开展益生元产品对消化道不同部位微生物作用相关研究分析</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生物与新医药</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合作开发</w:t>
            </w:r>
          </w:p>
        </w:tc>
        <w:tc>
          <w:tcPr>
            <w:tcW w:w="145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p>
        </w:tc>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rPr>
            </w:pPr>
          </w:p>
        </w:tc>
        <w:tc>
          <w:tcPr>
            <w:tcW w:w="1320" w:type="dxa"/>
            <w:vMerge w:val="continue"/>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32</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低聚果糖等功能糖产品在乳品中检测方法的确定</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生物技术</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合作开发</w:t>
            </w:r>
          </w:p>
        </w:tc>
        <w:tc>
          <w:tcPr>
            <w:tcW w:w="145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p>
        </w:tc>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4" w:hRule="atLeast"/>
        </w:trPr>
        <w:tc>
          <w:tcPr>
            <w:tcW w:w="49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lang w:val="en-US" w:eastAsia="zh-CN"/>
              </w:rPr>
            </w:pPr>
            <w:r>
              <w:rPr>
                <w:rFonts w:hint="default" w:ascii="Times New Roman" w:hAnsi="Times New Roman" w:eastAsia="仿宋_GB2312" w:cs="Times New Roman"/>
                <w:b/>
                <w:bCs/>
                <w:sz w:val="21"/>
                <w:szCs w:val="21"/>
                <w:lang w:val="en-US" w:eastAsia="zh-CN"/>
              </w:rPr>
              <w:t>1</w:t>
            </w:r>
            <w:r>
              <w:rPr>
                <w:rFonts w:hint="eastAsia" w:ascii="Times New Roman" w:hAnsi="Times New Roman" w:eastAsia="仿宋_GB2312" w:cs="Times New Roman"/>
                <w:b/>
                <w:bCs/>
                <w:sz w:val="21"/>
                <w:szCs w:val="21"/>
                <w:lang w:val="en-US" w:eastAsia="zh-CN"/>
              </w:rPr>
              <w:t>4</w:t>
            </w:r>
          </w:p>
        </w:tc>
        <w:tc>
          <w:tcPr>
            <w:tcW w:w="1320"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val="en-US" w:eastAsia="zh-CN"/>
              </w:rPr>
              <w:t>山东绿健生物技术有限公司</w:t>
            </w: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33</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val="en-US" w:eastAsia="zh-CN"/>
              </w:rPr>
              <w:t>乳果糖硼酸法中硼的去除以及含硼废水的处理：（1）硼酸法中硼的去除以及含硼废水的处理。目前市场上的乳果糖的生产有以下两个工艺，碱法，使用强碱弱酸盐提供的碱性，使乳糖分子的葡萄糖异构成乳果糖，然后通过脱色、净化，去除色素及离子和颜色，再通过两步结晶，将乳糖结晶析出，进而让乳果糖的含量进一步提高，此方法简单，但是耗时长，效率低，乳果糖含量也不高，一般都在60-70%之间，很难达到目前国际大客户的要求。硼酸法，此方法实际上是硼酸加碱法，也是利用弱酸性环境将乳糖中的葡萄糖转化成果糖，进而生成乳果糖，此方法反应条件温度更高、但是反应转化率更高，含量能够达到70%以上，接近80%左右。但是后期除硼非常困难，需要大量的除硼树脂，投入很大，增加了运行成本和管理成本。需求：除了以上两种乳果糖的生产方法，还有没有其他的效率更高新技术，既能够提高含量，有避开了硼元素的干扰，或者是有没有其他的无机盐或者有机盐能够代替硼酸加碱的效果。</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val="en-US" w:eastAsia="zh-CN"/>
              </w:rPr>
              <w:t>绿色化工</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技术合作</w:t>
            </w:r>
          </w:p>
        </w:tc>
        <w:tc>
          <w:tcPr>
            <w:tcW w:w="145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于艳丽0534-8103939</w:t>
            </w:r>
          </w:p>
        </w:tc>
        <w:tc>
          <w:tcPr>
            <w:tcW w:w="49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49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lang w:val="en-US" w:eastAsia="zh-CN"/>
              </w:rPr>
            </w:pPr>
            <w:r>
              <w:rPr>
                <w:rFonts w:hint="default" w:ascii="Times New Roman" w:hAnsi="Times New Roman" w:eastAsia="仿宋_GB2312" w:cs="Times New Roman"/>
                <w:b/>
                <w:bCs/>
                <w:sz w:val="21"/>
                <w:szCs w:val="21"/>
                <w:lang w:val="en-US" w:eastAsia="zh-CN"/>
              </w:rPr>
              <w:t>1</w:t>
            </w:r>
            <w:r>
              <w:rPr>
                <w:rFonts w:hint="eastAsia" w:ascii="Times New Roman" w:hAnsi="Times New Roman" w:eastAsia="仿宋_GB2312" w:cs="Times New Roman"/>
                <w:b/>
                <w:bCs/>
                <w:sz w:val="21"/>
                <w:szCs w:val="21"/>
                <w:lang w:val="en-US" w:eastAsia="zh-CN"/>
              </w:rPr>
              <w:t>5</w:t>
            </w:r>
          </w:p>
        </w:tc>
        <w:tc>
          <w:tcPr>
            <w:tcW w:w="1320" w:type="dxa"/>
            <w:vMerge w:val="restart"/>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浩阳环境股份有限公司</w:t>
            </w: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34</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普通土工膜生产线糙面产品生产，膜厚</w:t>
            </w:r>
            <w:r>
              <w:rPr>
                <w:rFonts w:hint="default" w:ascii="Times New Roman" w:hAnsi="Times New Roman" w:cs="Times New Roman"/>
                <w:b/>
                <w:bCs/>
                <w:sz w:val="21"/>
                <w:szCs w:val="21"/>
                <w:lang w:val="en-US" w:eastAsia="zh-CN"/>
              </w:rPr>
              <w:t>10mm--2.5mm,幅宽6-9米，要求糙面高度大于0.25mm,产品断裂伸长率大于600%，原料采用全新料，目前是个难题</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新材料</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技术合作</w:t>
            </w:r>
          </w:p>
        </w:tc>
        <w:tc>
          <w:tcPr>
            <w:tcW w:w="145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杨广超13853425721</w:t>
            </w:r>
          </w:p>
        </w:tc>
        <w:tc>
          <w:tcPr>
            <w:tcW w:w="49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rPr>
            </w:pPr>
          </w:p>
        </w:tc>
        <w:tc>
          <w:tcPr>
            <w:tcW w:w="1320" w:type="dxa"/>
            <w:vMerge w:val="continue"/>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35</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val="en-US" w:eastAsia="zh-CN"/>
              </w:rPr>
              <w:t>涤纶长丝土工布线产品纵横向断裂强力比控制，目前为1.3:1左右，纵向偏高，而最佳值为1:1，目前是个难题。</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新材料</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eastAsia="zh-CN"/>
              </w:rPr>
              <w:t>技术合作</w:t>
            </w:r>
          </w:p>
        </w:tc>
        <w:tc>
          <w:tcPr>
            <w:tcW w:w="145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p>
        </w:tc>
        <w:tc>
          <w:tcPr>
            <w:tcW w:w="49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49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lang w:val="en-US" w:eastAsia="zh-CN"/>
              </w:rPr>
            </w:pPr>
            <w:r>
              <w:rPr>
                <w:rFonts w:hint="default" w:ascii="Times New Roman" w:hAnsi="Times New Roman" w:eastAsia="仿宋_GB2312" w:cs="Times New Roman"/>
                <w:b/>
                <w:bCs/>
                <w:sz w:val="21"/>
                <w:szCs w:val="21"/>
                <w:lang w:val="en-US" w:eastAsia="zh-CN"/>
              </w:rPr>
              <w:t>1</w:t>
            </w:r>
            <w:r>
              <w:rPr>
                <w:rFonts w:hint="eastAsia" w:ascii="Times New Roman" w:hAnsi="Times New Roman" w:eastAsia="仿宋_GB2312" w:cs="Times New Roman"/>
                <w:b/>
                <w:bCs/>
                <w:sz w:val="21"/>
                <w:szCs w:val="21"/>
                <w:lang w:val="en-US" w:eastAsia="zh-CN"/>
              </w:rPr>
              <w:t>6</w:t>
            </w:r>
          </w:p>
        </w:tc>
        <w:tc>
          <w:tcPr>
            <w:tcW w:w="1320" w:type="dxa"/>
            <w:vMerge w:val="restart"/>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山东兴达化工有限公司</w:t>
            </w: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36</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提纯氰尿酸生产过程中发生很多副反应，使氰尿酸含量偏低，期望优化氰尿酸生产工艺，稳定提升产品含量到98.5%以上。</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精细化工</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技术合作</w:t>
            </w:r>
          </w:p>
        </w:tc>
        <w:tc>
          <w:tcPr>
            <w:tcW w:w="145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范燕双15863313211</w:t>
            </w:r>
          </w:p>
        </w:tc>
        <w:tc>
          <w:tcPr>
            <w:tcW w:w="49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rPr>
            </w:pPr>
          </w:p>
        </w:tc>
        <w:tc>
          <w:tcPr>
            <w:tcW w:w="1320" w:type="dxa"/>
            <w:vMerge w:val="continue"/>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3</w:t>
            </w:r>
            <w:r>
              <w:rPr>
                <w:rFonts w:hint="eastAsia" w:ascii="Times New Roman" w:hAnsi="Times New Roman" w:cs="Times New Roman"/>
                <w:b/>
                <w:bCs/>
                <w:sz w:val="21"/>
                <w:szCs w:val="21"/>
                <w:lang w:val="en-US" w:eastAsia="zh-CN"/>
              </w:rPr>
              <w:t>7</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现有氰尿酸产业链上，产品较单一，期望开发一些环保节能的氰尿酸下游产品，并有相应的规模化生产工艺。</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精细化工</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技术合作</w:t>
            </w:r>
          </w:p>
        </w:tc>
        <w:tc>
          <w:tcPr>
            <w:tcW w:w="145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p>
        </w:tc>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rPr>
            </w:pPr>
          </w:p>
        </w:tc>
        <w:tc>
          <w:tcPr>
            <w:tcW w:w="1320" w:type="dxa"/>
            <w:vMerge w:val="continue"/>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3</w:t>
            </w:r>
            <w:r>
              <w:rPr>
                <w:rFonts w:hint="eastAsia" w:ascii="Times New Roman" w:hAnsi="Times New Roman" w:cs="Times New Roman"/>
                <w:b/>
                <w:bCs/>
                <w:sz w:val="21"/>
                <w:szCs w:val="21"/>
                <w:lang w:val="en-US" w:eastAsia="zh-CN"/>
              </w:rPr>
              <w:t>8</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硫酸铵结块 ：硫酸铵在贮存过程中，存在结块的现象，给客户使用带来不便，期望解决硫酸铵贮存过程中结块的现象。</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精细化工</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技术合作</w:t>
            </w:r>
          </w:p>
        </w:tc>
        <w:tc>
          <w:tcPr>
            <w:tcW w:w="145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p>
        </w:tc>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49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lang w:val="en-US" w:eastAsia="zh-CN"/>
              </w:rPr>
            </w:pPr>
            <w:r>
              <w:rPr>
                <w:rFonts w:hint="default" w:ascii="Times New Roman" w:hAnsi="Times New Roman" w:eastAsia="仿宋_GB2312" w:cs="Times New Roman"/>
                <w:b/>
                <w:bCs/>
                <w:sz w:val="21"/>
                <w:szCs w:val="21"/>
                <w:lang w:val="en-US" w:eastAsia="zh-CN"/>
              </w:rPr>
              <w:t>1</w:t>
            </w:r>
            <w:r>
              <w:rPr>
                <w:rFonts w:hint="eastAsia" w:ascii="Times New Roman" w:hAnsi="Times New Roman" w:eastAsia="仿宋_GB2312" w:cs="Times New Roman"/>
                <w:b/>
                <w:bCs/>
                <w:sz w:val="21"/>
                <w:szCs w:val="21"/>
                <w:lang w:val="en-US" w:eastAsia="zh-CN"/>
              </w:rPr>
              <w:t>7</w:t>
            </w:r>
          </w:p>
        </w:tc>
        <w:tc>
          <w:tcPr>
            <w:tcW w:w="1320" w:type="dxa"/>
            <w:vMerge w:val="restart"/>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山东天辰智能停车有限公司</w:t>
            </w: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3</w:t>
            </w:r>
            <w:r>
              <w:rPr>
                <w:rFonts w:hint="eastAsia" w:ascii="Times New Roman" w:hAnsi="Times New Roman" w:cs="Times New Roman"/>
                <w:b/>
                <w:bCs/>
                <w:sz w:val="21"/>
                <w:szCs w:val="21"/>
                <w:lang w:val="en-US" w:eastAsia="zh-CN"/>
              </w:rPr>
              <w:t>9</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机械式停车设备抗震烈度的计算，抗风计算</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高端智能制造</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自主研发</w:t>
            </w:r>
          </w:p>
        </w:tc>
        <w:tc>
          <w:tcPr>
            <w:tcW w:w="145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戎月英13869272331</w:t>
            </w:r>
          </w:p>
        </w:tc>
        <w:tc>
          <w:tcPr>
            <w:tcW w:w="49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rPr>
            </w:pPr>
          </w:p>
        </w:tc>
        <w:tc>
          <w:tcPr>
            <w:tcW w:w="1320" w:type="dxa"/>
            <w:vMerge w:val="continue"/>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40</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机械式停车设备手机</w:t>
            </w:r>
            <w:r>
              <w:rPr>
                <w:rFonts w:hint="default" w:ascii="Times New Roman" w:hAnsi="Times New Roman" w:cs="Times New Roman"/>
                <w:b/>
                <w:bCs/>
                <w:sz w:val="21"/>
                <w:szCs w:val="21"/>
                <w:lang w:val="en-US" w:eastAsia="zh-CN"/>
              </w:rPr>
              <w:t>APP开发与WEB服务器的应用</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高端智能制造</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自主研发</w:t>
            </w:r>
          </w:p>
        </w:tc>
        <w:tc>
          <w:tcPr>
            <w:tcW w:w="145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p>
        </w:tc>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49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lang w:val="en-US" w:eastAsia="zh-CN"/>
              </w:rPr>
            </w:pPr>
            <w:r>
              <w:rPr>
                <w:rFonts w:hint="default" w:ascii="Times New Roman" w:hAnsi="Times New Roman" w:eastAsia="仿宋_GB2312" w:cs="Times New Roman"/>
                <w:b/>
                <w:bCs/>
                <w:sz w:val="21"/>
                <w:szCs w:val="21"/>
                <w:lang w:val="en-US" w:eastAsia="zh-CN"/>
              </w:rPr>
              <w:t>1</w:t>
            </w:r>
            <w:r>
              <w:rPr>
                <w:rFonts w:hint="eastAsia" w:ascii="Times New Roman" w:hAnsi="Times New Roman" w:eastAsia="仿宋_GB2312" w:cs="Times New Roman"/>
                <w:b/>
                <w:bCs/>
                <w:sz w:val="21"/>
                <w:szCs w:val="21"/>
                <w:lang w:val="en-US" w:eastAsia="zh-CN"/>
              </w:rPr>
              <w:t>8</w:t>
            </w:r>
          </w:p>
        </w:tc>
        <w:tc>
          <w:tcPr>
            <w:tcW w:w="1320" w:type="dxa"/>
            <w:vMerge w:val="restart"/>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鲁银集团禹城粉末冶金制品有限公司</w:t>
            </w:r>
          </w:p>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41</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粉末冶金件机械加工刀具（烧结硬化产品）</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装备制造</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技术合作</w:t>
            </w:r>
          </w:p>
        </w:tc>
        <w:tc>
          <w:tcPr>
            <w:tcW w:w="145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0534-2128052</w:t>
            </w:r>
          </w:p>
        </w:tc>
        <w:tc>
          <w:tcPr>
            <w:tcW w:w="49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rPr>
            </w:pPr>
          </w:p>
        </w:tc>
        <w:tc>
          <w:tcPr>
            <w:tcW w:w="1320" w:type="dxa"/>
            <w:vMerge w:val="continue"/>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42</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粉末冶金的成形（外齿径跳，加粉不均匀）</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装备制造</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技术合作</w:t>
            </w:r>
          </w:p>
        </w:tc>
        <w:tc>
          <w:tcPr>
            <w:tcW w:w="145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p>
        </w:tc>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rPr>
            </w:pPr>
          </w:p>
        </w:tc>
        <w:tc>
          <w:tcPr>
            <w:tcW w:w="1320" w:type="dxa"/>
            <w:vMerge w:val="continue"/>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4</w:t>
            </w:r>
            <w:r>
              <w:rPr>
                <w:rFonts w:hint="eastAsia" w:ascii="Times New Roman" w:hAnsi="Times New Roman" w:cs="Times New Roman"/>
                <w:b/>
                <w:bCs/>
                <w:sz w:val="21"/>
                <w:szCs w:val="21"/>
                <w:lang w:val="en-US" w:eastAsia="zh-CN"/>
              </w:rPr>
              <w:t>3</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粉末冶金的烧结</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装备制造</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技术合作</w:t>
            </w:r>
          </w:p>
        </w:tc>
        <w:tc>
          <w:tcPr>
            <w:tcW w:w="145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p>
        </w:tc>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rPr>
            </w:pPr>
          </w:p>
        </w:tc>
        <w:tc>
          <w:tcPr>
            <w:tcW w:w="1320" w:type="dxa"/>
            <w:vMerge w:val="continue"/>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4</w:t>
            </w:r>
            <w:r>
              <w:rPr>
                <w:rFonts w:hint="eastAsia" w:ascii="Times New Roman" w:hAnsi="Times New Roman" w:cs="Times New Roman"/>
                <w:b/>
                <w:bCs/>
                <w:sz w:val="21"/>
                <w:szCs w:val="21"/>
                <w:lang w:val="en-US" w:eastAsia="zh-CN"/>
              </w:rPr>
              <w:t>4</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粉末冶金模具材料的选择</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装备制造</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技术合作</w:t>
            </w:r>
          </w:p>
        </w:tc>
        <w:tc>
          <w:tcPr>
            <w:tcW w:w="145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p>
        </w:tc>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rPr>
            </w:pPr>
          </w:p>
        </w:tc>
        <w:tc>
          <w:tcPr>
            <w:tcW w:w="1320" w:type="dxa"/>
            <w:vMerge w:val="continue"/>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4</w:t>
            </w:r>
            <w:r>
              <w:rPr>
                <w:rFonts w:hint="eastAsia" w:ascii="Times New Roman" w:hAnsi="Times New Roman" w:cs="Times New Roman"/>
                <w:b/>
                <w:bCs/>
                <w:sz w:val="21"/>
                <w:szCs w:val="21"/>
                <w:lang w:val="en-US" w:eastAsia="zh-CN"/>
              </w:rPr>
              <w:t>5</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粉末冶金模具的设计（N800互锁板）</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装备制造</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技术合作</w:t>
            </w:r>
          </w:p>
        </w:tc>
        <w:tc>
          <w:tcPr>
            <w:tcW w:w="145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p>
        </w:tc>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rPr>
            </w:pPr>
          </w:p>
        </w:tc>
        <w:tc>
          <w:tcPr>
            <w:tcW w:w="1320" w:type="dxa"/>
            <w:vMerge w:val="continue"/>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4</w:t>
            </w:r>
            <w:r>
              <w:rPr>
                <w:rFonts w:hint="eastAsia" w:ascii="Times New Roman" w:hAnsi="Times New Roman" w:cs="Times New Roman"/>
                <w:b/>
                <w:bCs/>
                <w:sz w:val="21"/>
                <w:szCs w:val="21"/>
                <w:lang w:val="en-US" w:eastAsia="zh-CN"/>
              </w:rPr>
              <w:t>6</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粉末冶金件机械加工（粘刀、………</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装备制造</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技术合作</w:t>
            </w:r>
          </w:p>
        </w:tc>
        <w:tc>
          <w:tcPr>
            <w:tcW w:w="145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p>
        </w:tc>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rPr>
            </w:pPr>
          </w:p>
        </w:tc>
        <w:tc>
          <w:tcPr>
            <w:tcW w:w="1320" w:type="dxa"/>
            <w:vMerge w:val="continue"/>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4</w:t>
            </w:r>
            <w:r>
              <w:rPr>
                <w:rFonts w:hint="eastAsia" w:ascii="Times New Roman" w:hAnsi="Times New Roman" w:cs="Times New Roman"/>
                <w:b/>
                <w:bCs/>
                <w:sz w:val="21"/>
                <w:szCs w:val="21"/>
                <w:lang w:val="en-US" w:eastAsia="zh-CN"/>
              </w:rPr>
              <w:t>7</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5J30T产品加工过程铁销粘刀，刀具（端面、槽刀）磨损严重。可否根据产品材质推荐几种试样刀具</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装备制造</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技术合作</w:t>
            </w:r>
          </w:p>
        </w:tc>
        <w:tc>
          <w:tcPr>
            <w:tcW w:w="145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p>
        </w:tc>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rPr>
            </w:pPr>
          </w:p>
        </w:tc>
        <w:tc>
          <w:tcPr>
            <w:tcW w:w="1320" w:type="dxa"/>
            <w:vMerge w:val="continue"/>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4</w:t>
            </w:r>
            <w:r>
              <w:rPr>
                <w:rFonts w:hint="eastAsia" w:ascii="Times New Roman" w:hAnsi="Times New Roman" w:cs="Times New Roman"/>
                <w:b/>
                <w:bCs/>
                <w:sz w:val="21"/>
                <w:szCs w:val="21"/>
                <w:lang w:val="en-US" w:eastAsia="zh-CN"/>
              </w:rPr>
              <w:t>8</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5J30T产品钻孔工序普通钻头无法使用，合金钻头成本太高。需求合适产品加工的刃具</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装备制造</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技术合作</w:t>
            </w:r>
          </w:p>
        </w:tc>
        <w:tc>
          <w:tcPr>
            <w:tcW w:w="145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p>
        </w:tc>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rPr>
            </w:pPr>
          </w:p>
        </w:tc>
        <w:tc>
          <w:tcPr>
            <w:tcW w:w="1320" w:type="dxa"/>
            <w:vMerge w:val="continue"/>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4</w:t>
            </w:r>
            <w:r>
              <w:rPr>
                <w:rFonts w:hint="eastAsia" w:ascii="Times New Roman" w:hAnsi="Times New Roman" w:cs="Times New Roman"/>
                <w:b/>
                <w:bCs/>
                <w:sz w:val="21"/>
                <w:szCs w:val="21"/>
                <w:lang w:val="en-US" w:eastAsia="zh-CN"/>
              </w:rPr>
              <w:t>9</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538互锁块、控制抓铣加工效率太低（工装、加工程序、刀具）</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装备制造</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技术合作</w:t>
            </w:r>
          </w:p>
        </w:tc>
        <w:tc>
          <w:tcPr>
            <w:tcW w:w="145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p>
        </w:tc>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49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lang w:val="en-US" w:eastAsia="zh-CN"/>
              </w:rPr>
            </w:pPr>
            <w:r>
              <w:rPr>
                <w:rFonts w:hint="default" w:ascii="Times New Roman" w:hAnsi="Times New Roman" w:eastAsia="仿宋_GB2312" w:cs="Times New Roman"/>
                <w:b/>
                <w:bCs/>
                <w:sz w:val="21"/>
                <w:szCs w:val="21"/>
                <w:lang w:val="en-US" w:eastAsia="zh-CN"/>
              </w:rPr>
              <w:t>1</w:t>
            </w:r>
            <w:r>
              <w:rPr>
                <w:rFonts w:hint="eastAsia" w:ascii="Times New Roman" w:hAnsi="Times New Roman" w:eastAsia="仿宋_GB2312" w:cs="Times New Roman"/>
                <w:b/>
                <w:bCs/>
                <w:sz w:val="21"/>
                <w:szCs w:val="21"/>
                <w:lang w:val="en-US" w:eastAsia="zh-CN"/>
              </w:rPr>
              <w:t>9</w:t>
            </w:r>
          </w:p>
        </w:tc>
        <w:tc>
          <w:tcPr>
            <w:tcW w:w="1320" w:type="dxa"/>
            <w:vMerge w:val="restart"/>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山东鸿兴源食品有限公司</w:t>
            </w: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20</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油水混合物结构研究：提高油水混合物的保质期，防止保质期内混合物油水分离；建立一套完整的快速检测方案，能够实现在线监测。</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生物技术</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技术合作</w:t>
            </w:r>
          </w:p>
        </w:tc>
        <w:tc>
          <w:tcPr>
            <w:tcW w:w="145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张静</w:t>
            </w:r>
          </w:p>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17653478856</w:t>
            </w:r>
          </w:p>
        </w:tc>
        <w:tc>
          <w:tcPr>
            <w:tcW w:w="49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rPr>
            </w:pPr>
          </w:p>
        </w:tc>
        <w:tc>
          <w:tcPr>
            <w:tcW w:w="1320" w:type="dxa"/>
            <w:vMerge w:val="continue"/>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51</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设计能够代替人工的炒酱工艺流程及设备</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生物技术</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技术合作</w:t>
            </w:r>
          </w:p>
        </w:tc>
        <w:tc>
          <w:tcPr>
            <w:tcW w:w="145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p>
        </w:tc>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rPr>
            </w:pPr>
          </w:p>
        </w:tc>
        <w:tc>
          <w:tcPr>
            <w:tcW w:w="1320" w:type="dxa"/>
            <w:vMerge w:val="continue"/>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52</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酱油沉淀物的再利用及如何减少酱油沉淀物</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生物技术</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技术合作</w:t>
            </w:r>
          </w:p>
        </w:tc>
        <w:tc>
          <w:tcPr>
            <w:tcW w:w="145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p>
        </w:tc>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49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lang w:val="en-US" w:eastAsia="zh-CN"/>
              </w:rPr>
            </w:pPr>
            <w:r>
              <w:rPr>
                <w:rFonts w:hint="eastAsia" w:ascii="Times New Roman" w:hAnsi="Times New Roman" w:eastAsia="仿宋_GB2312" w:cs="Times New Roman"/>
                <w:b/>
                <w:bCs/>
                <w:sz w:val="21"/>
                <w:szCs w:val="21"/>
                <w:lang w:val="en-US" w:eastAsia="zh-CN"/>
              </w:rPr>
              <w:t>20</w:t>
            </w:r>
          </w:p>
        </w:tc>
        <w:tc>
          <w:tcPr>
            <w:tcW w:w="1320"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val="en-US" w:eastAsia="zh-CN"/>
              </w:rPr>
              <w:t>禹城京都新材料科技有限公司</w:t>
            </w: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5</w:t>
            </w:r>
            <w:r>
              <w:rPr>
                <w:rFonts w:hint="eastAsia" w:ascii="Times New Roman" w:hAnsi="Times New Roman" w:cs="Times New Roman"/>
                <w:b/>
                <w:bCs/>
                <w:sz w:val="21"/>
                <w:szCs w:val="21"/>
                <w:lang w:val="en-US" w:eastAsia="zh-CN"/>
              </w:rPr>
              <w:t>3</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超级电容器碳材料的关键技术</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val="en-US" w:eastAsia="zh-CN"/>
              </w:rPr>
              <w:t>新材料</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val="en-US" w:eastAsia="zh-CN"/>
              </w:rPr>
              <w:t>技术合作</w:t>
            </w:r>
          </w:p>
        </w:tc>
        <w:tc>
          <w:tcPr>
            <w:tcW w:w="145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刘惠长</w:t>
            </w:r>
          </w:p>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13383189327</w:t>
            </w:r>
          </w:p>
        </w:tc>
        <w:tc>
          <w:tcPr>
            <w:tcW w:w="49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49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lang w:val="en-US" w:eastAsia="zh-CN"/>
              </w:rPr>
            </w:pPr>
            <w:r>
              <w:rPr>
                <w:rFonts w:hint="eastAsia" w:ascii="Times New Roman" w:hAnsi="Times New Roman" w:eastAsia="仿宋_GB2312" w:cs="Times New Roman"/>
                <w:b/>
                <w:bCs/>
                <w:sz w:val="21"/>
                <w:szCs w:val="21"/>
                <w:lang w:val="en-US" w:eastAsia="zh-CN"/>
              </w:rPr>
              <w:t>21</w:t>
            </w:r>
          </w:p>
        </w:tc>
        <w:tc>
          <w:tcPr>
            <w:tcW w:w="1320"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山东广博科技创新服务有限公司</w:t>
            </w: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5</w:t>
            </w:r>
            <w:r>
              <w:rPr>
                <w:rFonts w:hint="eastAsia" w:ascii="Times New Roman" w:hAnsi="Times New Roman" w:cs="Times New Roman"/>
                <w:b/>
                <w:bCs/>
                <w:sz w:val="21"/>
                <w:szCs w:val="21"/>
                <w:lang w:val="en-US" w:eastAsia="zh-CN"/>
              </w:rPr>
              <w:t>4</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益生元和益生菌的产品应用及其系列终端产品的开发</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生物技术</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合作开发</w:t>
            </w:r>
          </w:p>
        </w:tc>
        <w:tc>
          <w:tcPr>
            <w:tcW w:w="145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魏巍13011760470</w:t>
            </w:r>
          </w:p>
        </w:tc>
        <w:tc>
          <w:tcPr>
            <w:tcW w:w="49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49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lang w:val="en-US" w:eastAsia="zh-CN"/>
              </w:rPr>
            </w:pPr>
            <w:r>
              <w:rPr>
                <w:rFonts w:hint="eastAsia" w:ascii="Times New Roman" w:hAnsi="Times New Roman" w:eastAsia="仿宋_GB2312" w:cs="Times New Roman"/>
                <w:b/>
                <w:bCs/>
                <w:sz w:val="21"/>
                <w:szCs w:val="21"/>
                <w:lang w:val="en-US" w:eastAsia="zh-CN"/>
              </w:rPr>
              <w:t>22</w:t>
            </w:r>
          </w:p>
        </w:tc>
        <w:tc>
          <w:tcPr>
            <w:tcW w:w="1320"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禹城贝尔新材料有限公司</w:t>
            </w: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5</w:t>
            </w:r>
            <w:r>
              <w:rPr>
                <w:rFonts w:hint="eastAsia" w:ascii="Times New Roman" w:hAnsi="Times New Roman" w:cs="Times New Roman"/>
                <w:b/>
                <w:bCs/>
                <w:sz w:val="21"/>
                <w:szCs w:val="21"/>
                <w:lang w:val="en-US" w:eastAsia="zh-CN"/>
              </w:rPr>
              <w:t>5</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用于石墨烯和碳纳米管分散的表面活性剂，需要寻找一种用量更少，分散效果更好的，以提高碳材料分散效果，降低体系粘度。</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新材料</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产学研合作</w:t>
            </w:r>
          </w:p>
        </w:tc>
        <w:tc>
          <w:tcPr>
            <w:tcW w:w="145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王亚男 18553441520</w:t>
            </w:r>
          </w:p>
        </w:tc>
        <w:tc>
          <w:tcPr>
            <w:tcW w:w="49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49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lang w:val="en-US" w:eastAsia="zh-CN"/>
              </w:rPr>
            </w:pPr>
            <w:r>
              <w:rPr>
                <w:rFonts w:hint="default" w:ascii="Times New Roman" w:hAnsi="Times New Roman" w:eastAsia="仿宋_GB2312" w:cs="Times New Roman"/>
                <w:b/>
                <w:bCs/>
                <w:sz w:val="21"/>
                <w:szCs w:val="21"/>
                <w:lang w:val="en-US" w:eastAsia="zh-CN"/>
              </w:rPr>
              <w:t>2</w:t>
            </w:r>
            <w:r>
              <w:rPr>
                <w:rFonts w:hint="eastAsia" w:ascii="Times New Roman" w:hAnsi="Times New Roman" w:eastAsia="仿宋_GB2312" w:cs="Times New Roman"/>
                <w:b/>
                <w:bCs/>
                <w:sz w:val="21"/>
                <w:szCs w:val="21"/>
                <w:lang w:val="en-US" w:eastAsia="zh-CN"/>
              </w:rPr>
              <w:t>3</w:t>
            </w:r>
          </w:p>
        </w:tc>
        <w:tc>
          <w:tcPr>
            <w:tcW w:w="1320" w:type="dxa"/>
            <w:vMerge w:val="restart"/>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法博士生物科技有限公司</w:t>
            </w: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5</w:t>
            </w:r>
            <w:r>
              <w:rPr>
                <w:rFonts w:hint="eastAsia" w:ascii="Times New Roman" w:hAnsi="Times New Roman" w:cs="Times New Roman"/>
                <w:b/>
                <w:bCs/>
                <w:sz w:val="21"/>
                <w:szCs w:val="21"/>
                <w:lang w:val="en-US" w:eastAsia="zh-CN"/>
              </w:rPr>
              <w:t>6</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蚯蚓深加工产品蚯蚓活性酶植物多肽液中蛋白质、多肽、微生物等各类物质含量的检测方法和仪器</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生物技术</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委托检测</w:t>
            </w:r>
          </w:p>
        </w:tc>
        <w:tc>
          <w:tcPr>
            <w:tcW w:w="145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王晓晶</w:t>
            </w:r>
          </w:p>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18615566780</w:t>
            </w:r>
          </w:p>
        </w:tc>
        <w:tc>
          <w:tcPr>
            <w:tcW w:w="49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trPr>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rPr>
            </w:pPr>
          </w:p>
        </w:tc>
        <w:tc>
          <w:tcPr>
            <w:tcW w:w="1320" w:type="dxa"/>
            <w:vMerge w:val="continue"/>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5</w:t>
            </w:r>
            <w:r>
              <w:rPr>
                <w:rFonts w:hint="eastAsia" w:ascii="Times New Roman" w:hAnsi="Times New Roman" w:cs="Times New Roman"/>
                <w:b/>
                <w:bCs/>
                <w:sz w:val="21"/>
                <w:szCs w:val="21"/>
                <w:lang w:val="en-US" w:eastAsia="zh-CN"/>
              </w:rPr>
              <w:t>7</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蚯蚓养殖过程中筛选设备的研发，蚯蚓深加工器械的改良与研发</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装备制造</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院企合作</w:t>
            </w:r>
          </w:p>
        </w:tc>
        <w:tc>
          <w:tcPr>
            <w:tcW w:w="145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p>
        </w:tc>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rPr>
            </w:pPr>
          </w:p>
        </w:tc>
        <w:tc>
          <w:tcPr>
            <w:tcW w:w="1320" w:type="dxa"/>
            <w:vMerge w:val="continue"/>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5</w:t>
            </w:r>
            <w:r>
              <w:rPr>
                <w:rFonts w:hint="eastAsia" w:ascii="Times New Roman" w:hAnsi="Times New Roman" w:cs="Times New Roman"/>
                <w:b/>
                <w:bCs/>
                <w:sz w:val="21"/>
                <w:szCs w:val="21"/>
                <w:lang w:val="en-US" w:eastAsia="zh-CN"/>
              </w:rPr>
              <w:t>8</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蚯蚓体内各种蛋白质的功能检测，有益物质的研究与提取，微生物种类的鉴定，蚯蚓深加工过程中各阶段物质成分分析，蚯蚓酶解反应原理及反应过程中各种物质成分分析</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生物技术</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院企合作</w:t>
            </w:r>
          </w:p>
        </w:tc>
        <w:tc>
          <w:tcPr>
            <w:tcW w:w="145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p>
        </w:tc>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rPr>
            </w:pPr>
          </w:p>
        </w:tc>
        <w:tc>
          <w:tcPr>
            <w:tcW w:w="1320" w:type="dxa"/>
            <w:vMerge w:val="continue"/>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5</w:t>
            </w:r>
            <w:r>
              <w:rPr>
                <w:rFonts w:hint="eastAsia" w:ascii="Times New Roman" w:hAnsi="Times New Roman" w:cs="Times New Roman"/>
                <w:b/>
                <w:bCs/>
                <w:sz w:val="21"/>
                <w:szCs w:val="21"/>
                <w:lang w:val="en-US" w:eastAsia="zh-CN"/>
              </w:rPr>
              <w:t>9</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蚯蚓养殖过程中各种天敌的防治措施，养殖基料成分配比和的开发</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生物技术</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院企合作</w:t>
            </w:r>
          </w:p>
        </w:tc>
        <w:tc>
          <w:tcPr>
            <w:tcW w:w="145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p>
        </w:tc>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6" w:hRule="atLeast"/>
        </w:trPr>
        <w:tc>
          <w:tcPr>
            <w:tcW w:w="49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lang w:val="en-US" w:eastAsia="zh-CN"/>
              </w:rPr>
            </w:pPr>
            <w:r>
              <w:rPr>
                <w:rFonts w:hint="default" w:ascii="Times New Roman" w:hAnsi="Times New Roman" w:eastAsia="仿宋_GB2312" w:cs="Times New Roman"/>
                <w:b/>
                <w:bCs/>
                <w:sz w:val="21"/>
                <w:szCs w:val="21"/>
                <w:lang w:val="en-US" w:eastAsia="zh-CN"/>
              </w:rPr>
              <w:t>2</w:t>
            </w:r>
            <w:r>
              <w:rPr>
                <w:rFonts w:hint="eastAsia" w:ascii="Times New Roman" w:hAnsi="Times New Roman" w:eastAsia="仿宋_GB2312" w:cs="Times New Roman"/>
                <w:b/>
                <w:bCs/>
                <w:sz w:val="21"/>
                <w:szCs w:val="21"/>
                <w:lang w:val="en-US" w:eastAsia="zh-CN"/>
              </w:rPr>
              <w:t>4</w:t>
            </w:r>
          </w:p>
        </w:tc>
        <w:tc>
          <w:tcPr>
            <w:tcW w:w="1320"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山东国晶新材料有限公司</w:t>
            </w: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60</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我公司采用化学气相沉积（CVD）工艺生产热解氮化硼单晶生长坩埚、多晶合成舟等产品时，由于受设备真空度及杂质影响，沉积的产品表面存在溜泡等影响单晶成晶率的问题。</w:t>
            </w:r>
          </w:p>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拟在产品溜泡控制、生产合格率等某方面寻求合作，预期达到溜泡φ0.3mm&lt;10个/cm2、生产合格率〉95%的指标要求。</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val="en-US" w:eastAsia="zh-CN"/>
              </w:rPr>
              <w:t>新材料</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技术合作</w:t>
            </w:r>
          </w:p>
        </w:tc>
        <w:tc>
          <w:tcPr>
            <w:tcW w:w="145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王洪振13792233138</w:t>
            </w:r>
          </w:p>
        </w:tc>
        <w:tc>
          <w:tcPr>
            <w:tcW w:w="49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49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lang w:val="en-US" w:eastAsia="zh-CN"/>
              </w:rPr>
            </w:pPr>
            <w:r>
              <w:rPr>
                <w:rFonts w:hint="default" w:ascii="Times New Roman" w:hAnsi="Times New Roman" w:eastAsia="仿宋_GB2312" w:cs="Times New Roman"/>
                <w:b/>
                <w:bCs/>
                <w:sz w:val="21"/>
                <w:szCs w:val="21"/>
                <w:lang w:val="en-US" w:eastAsia="zh-CN"/>
              </w:rPr>
              <w:t>2</w:t>
            </w:r>
            <w:r>
              <w:rPr>
                <w:rFonts w:hint="eastAsia" w:ascii="Times New Roman" w:hAnsi="Times New Roman" w:eastAsia="仿宋_GB2312" w:cs="Times New Roman"/>
                <w:b/>
                <w:bCs/>
                <w:sz w:val="21"/>
                <w:szCs w:val="21"/>
                <w:lang w:val="en-US" w:eastAsia="zh-CN"/>
              </w:rPr>
              <w:t>5</w:t>
            </w:r>
          </w:p>
        </w:tc>
        <w:tc>
          <w:tcPr>
            <w:tcW w:w="1320" w:type="dxa"/>
            <w:vMerge w:val="restart"/>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山东天绿制药有限公司</w:t>
            </w: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61</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熊去氧胆酸粗品精制的纯化工艺</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绿色化工</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技术合作</w:t>
            </w:r>
          </w:p>
        </w:tc>
        <w:tc>
          <w:tcPr>
            <w:tcW w:w="145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陆其华</w:t>
            </w:r>
          </w:p>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13013815888</w:t>
            </w:r>
          </w:p>
        </w:tc>
        <w:tc>
          <w:tcPr>
            <w:tcW w:w="49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rPr>
            </w:pPr>
          </w:p>
        </w:tc>
        <w:tc>
          <w:tcPr>
            <w:tcW w:w="1320" w:type="dxa"/>
            <w:vMerge w:val="continue"/>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62</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基因工程菌的构建及工业化生产</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绿色化工</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技术合作</w:t>
            </w:r>
          </w:p>
        </w:tc>
        <w:tc>
          <w:tcPr>
            <w:tcW w:w="145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p>
        </w:tc>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rPr>
            </w:pPr>
          </w:p>
        </w:tc>
        <w:tc>
          <w:tcPr>
            <w:tcW w:w="1320" w:type="dxa"/>
            <w:vMerge w:val="continue"/>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6</w:t>
            </w:r>
            <w:r>
              <w:rPr>
                <w:rFonts w:hint="eastAsia" w:ascii="Times New Roman" w:hAnsi="Times New Roman" w:cs="Times New Roman"/>
                <w:b/>
                <w:bCs/>
                <w:sz w:val="21"/>
                <w:szCs w:val="21"/>
                <w:lang w:val="en-US" w:eastAsia="zh-CN"/>
              </w:rPr>
              <w:t>3</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制剂工艺的开发</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绿色化工</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技术合作</w:t>
            </w:r>
          </w:p>
        </w:tc>
        <w:tc>
          <w:tcPr>
            <w:tcW w:w="145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p>
        </w:tc>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rPr>
            </w:pPr>
          </w:p>
        </w:tc>
        <w:tc>
          <w:tcPr>
            <w:tcW w:w="1320" w:type="dxa"/>
            <w:vMerge w:val="continue"/>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6</w:t>
            </w:r>
            <w:r>
              <w:rPr>
                <w:rFonts w:hint="eastAsia" w:ascii="Times New Roman" w:hAnsi="Times New Roman" w:cs="Times New Roman"/>
                <w:b/>
                <w:bCs/>
                <w:sz w:val="21"/>
                <w:szCs w:val="21"/>
                <w:lang w:val="en-US" w:eastAsia="zh-CN"/>
              </w:rPr>
              <w:t>4</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家禽胆汁酸分离纯化、化学转化，HDCA及CA通过化学反应得到CDCA</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绿色化工</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技术合作</w:t>
            </w:r>
          </w:p>
        </w:tc>
        <w:tc>
          <w:tcPr>
            <w:tcW w:w="145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p>
        </w:tc>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49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lang w:val="en-US" w:eastAsia="zh-CN"/>
              </w:rPr>
            </w:pPr>
            <w:r>
              <w:rPr>
                <w:rFonts w:hint="default" w:ascii="Times New Roman" w:hAnsi="Times New Roman" w:eastAsia="仿宋_GB2312" w:cs="Times New Roman"/>
                <w:b/>
                <w:bCs/>
                <w:sz w:val="21"/>
                <w:szCs w:val="21"/>
                <w:lang w:val="en-US" w:eastAsia="zh-CN"/>
              </w:rPr>
              <w:t>2</w:t>
            </w:r>
            <w:r>
              <w:rPr>
                <w:rFonts w:hint="eastAsia" w:ascii="Times New Roman" w:hAnsi="Times New Roman" w:eastAsia="仿宋_GB2312" w:cs="Times New Roman"/>
                <w:b/>
                <w:bCs/>
                <w:sz w:val="21"/>
                <w:szCs w:val="21"/>
                <w:lang w:val="en-US" w:eastAsia="zh-CN"/>
              </w:rPr>
              <w:t>6</w:t>
            </w:r>
          </w:p>
        </w:tc>
        <w:tc>
          <w:tcPr>
            <w:tcW w:w="1320" w:type="dxa"/>
            <w:vMerge w:val="restart"/>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山东禹泽医药科技有限公司</w:t>
            </w: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6</w:t>
            </w:r>
            <w:r>
              <w:rPr>
                <w:rFonts w:hint="eastAsia" w:ascii="Times New Roman" w:hAnsi="Times New Roman" w:cs="Times New Roman"/>
                <w:b/>
                <w:bCs/>
                <w:sz w:val="21"/>
                <w:szCs w:val="21"/>
                <w:lang w:val="en-US" w:eastAsia="zh-CN"/>
              </w:rPr>
              <w:t>5</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经典名方中药新药开发文献考证及确证</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生物技术</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技术指导</w:t>
            </w:r>
          </w:p>
        </w:tc>
        <w:tc>
          <w:tcPr>
            <w:tcW w:w="145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孙志强15550005791</w:t>
            </w:r>
          </w:p>
        </w:tc>
        <w:tc>
          <w:tcPr>
            <w:tcW w:w="49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rPr>
            </w:pPr>
          </w:p>
        </w:tc>
        <w:tc>
          <w:tcPr>
            <w:tcW w:w="1320" w:type="dxa"/>
            <w:vMerge w:val="continue"/>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6</w:t>
            </w:r>
            <w:r>
              <w:rPr>
                <w:rFonts w:hint="eastAsia" w:ascii="Times New Roman" w:hAnsi="Times New Roman" w:cs="Times New Roman"/>
                <w:b/>
                <w:bCs/>
                <w:sz w:val="21"/>
                <w:szCs w:val="21"/>
                <w:lang w:val="en-US" w:eastAsia="zh-CN"/>
              </w:rPr>
              <w:t>6</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不同营养素原料的选择依据</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生物技术</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技术指导</w:t>
            </w:r>
          </w:p>
        </w:tc>
        <w:tc>
          <w:tcPr>
            <w:tcW w:w="145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p>
        </w:tc>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trPr>
        <w:tc>
          <w:tcPr>
            <w:tcW w:w="49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lang w:val="en-US" w:eastAsia="zh-CN"/>
              </w:rPr>
            </w:pPr>
            <w:r>
              <w:rPr>
                <w:rFonts w:hint="default" w:ascii="Times New Roman" w:hAnsi="Times New Roman" w:eastAsia="仿宋_GB2312" w:cs="Times New Roman"/>
                <w:b/>
                <w:bCs/>
                <w:sz w:val="21"/>
                <w:szCs w:val="21"/>
                <w:lang w:val="en-US" w:eastAsia="zh-CN"/>
              </w:rPr>
              <w:t>2</w:t>
            </w:r>
            <w:r>
              <w:rPr>
                <w:rFonts w:hint="eastAsia" w:ascii="Times New Roman" w:hAnsi="Times New Roman" w:eastAsia="仿宋_GB2312" w:cs="Times New Roman"/>
                <w:b/>
                <w:bCs/>
                <w:sz w:val="21"/>
                <w:szCs w:val="21"/>
                <w:lang w:val="en-US" w:eastAsia="zh-CN"/>
              </w:rPr>
              <w:t>7</w:t>
            </w:r>
          </w:p>
        </w:tc>
        <w:tc>
          <w:tcPr>
            <w:tcW w:w="1320"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禹城禹圳生物科技有限公司</w:t>
            </w: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6</w:t>
            </w:r>
            <w:r>
              <w:rPr>
                <w:rFonts w:hint="eastAsia" w:ascii="Times New Roman" w:hAnsi="Times New Roman" w:cs="Times New Roman"/>
                <w:b/>
                <w:bCs/>
                <w:sz w:val="21"/>
                <w:szCs w:val="21"/>
                <w:lang w:val="en-US" w:eastAsia="zh-CN"/>
              </w:rPr>
              <w:t>7</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甲基丙二醇的工业化制备工艺</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绿色化工</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技术引进</w:t>
            </w:r>
          </w:p>
        </w:tc>
        <w:tc>
          <w:tcPr>
            <w:tcW w:w="145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赵景瑞</w:t>
            </w:r>
          </w:p>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18663472288</w:t>
            </w:r>
          </w:p>
        </w:tc>
        <w:tc>
          <w:tcPr>
            <w:tcW w:w="49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49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lang w:val="en-US" w:eastAsia="zh-CN"/>
              </w:rPr>
            </w:pPr>
            <w:r>
              <w:rPr>
                <w:rFonts w:hint="default" w:ascii="Times New Roman" w:hAnsi="Times New Roman" w:eastAsia="仿宋_GB2312" w:cs="Times New Roman"/>
                <w:b/>
                <w:bCs/>
                <w:sz w:val="21"/>
                <w:szCs w:val="21"/>
                <w:lang w:val="en-US" w:eastAsia="zh-CN"/>
              </w:rPr>
              <w:t>2</w:t>
            </w:r>
            <w:r>
              <w:rPr>
                <w:rFonts w:hint="eastAsia" w:ascii="Times New Roman" w:hAnsi="Times New Roman" w:eastAsia="仿宋_GB2312" w:cs="Times New Roman"/>
                <w:b/>
                <w:bCs/>
                <w:sz w:val="21"/>
                <w:szCs w:val="21"/>
                <w:lang w:val="en-US" w:eastAsia="zh-CN"/>
              </w:rPr>
              <w:t>8</w:t>
            </w:r>
          </w:p>
        </w:tc>
        <w:tc>
          <w:tcPr>
            <w:tcW w:w="1320"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val="en-US" w:eastAsia="zh-CN"/>
              </w:rPr>
              <w:t>山东天盛机械科技股份有限公司</w:t>
            </w: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6</w:t>
            </w:r>
            <w:r>
              <w:rPr>
                <w:rFonts w:hint="eastAsia" w:ascii="Times New Roman" w:hAnsi="Times New Roman" w:cs="Times New Roman"/>
                <w:b/>
                <w:bCs/>
                <w:sz w:val="21"/>
                <w:szCs w:val="21"/>
                <w:lang w:val="en-US" w:eastAsia="zh-CN"/>
              </w:rPr>
              <w:t>8</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val="en-US" w:eastAsia="zh-CN"/>
              </w:rPr>
              <w:t>撒肥车在撒播过程中的自动化控制，能够控制撒播肥料的数量，以达到精量撒播的目的，自动发出一种信号，整套的系统应用到我公司的撒肥系列产品上面。</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val="en-US" w:eastAsia="zh-CN"/>
              </w:rPr>
              <w:t>机械制造</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val="en-US" w:eastAsia="zh-CN"/>
              </w:rPr>
              <w:t>共同研发</w:t>
            </w:r>
          </w:p>
        </w:tc>
        <w:tc>
          <w:tcPr>
            <w:tcW w:w="145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刘晓菲</w:t>
            </w:r>
          </w:p>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17615798093</w:t>
            </w:r>
          </w:p>
        </w:tc>
        <w:tc>
          <w:tcPr>
            <w:tcW w:w="49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49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lang w:val="en-US" w:eastAsia="zh-CN"/>
              </w:rPr>
            </w:pPr>
            <w:r>
              <w:rPr>
                <w:rFonts w:hint="default" w:ascii="Times New Roman" w:hAnsi="Times New Roman" w:eastAsia="仿宋_GB2312" w:cs="Times New Roman"/>
                <w:b/>
                <w:bCs/>
                <w:sz w:val="21"/>
                <w:szCs w:val="21"/>
                <w:lang w:val="en-US" w:eastAsia="zh-CN"/>
              </w:rPr>
              <w:t>2</w:t>
            </w:r>
            <w:r>
              <w:rPr>
                <w:rFonts w:hint="eastAsia" w:ascii="Times New Roman" w:hAnsi="Times New Roman" w:eastAsia="仿宋_GB2312" w:cs="Times New Roman"/>
                <w:b/>
                <w:bCs/>
                <w:sz w:val="21"/>
                <w:szCs w:val="21"/>
                <w:lang w:val="en-US" w:eastAsia="zh-CN"/>
              </w:rPr>
              <w:t>9</w:t>
            </w:r>
          </w:p>
        </w:tc>
        <w:tc>
          <w:tcPr>
            <w:tcW w:w="1320"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lang w:val="en-US" w:eastAsia="zh-CN"/>
              </w:rPr>
            </w:pPr>
            <w:r>
              <w:rPr>
                <w:rFonts w:hint="default" w:ascii="Times New Roman" w:hAnsi="Times New Roman" w:cs="Times New Roman" w:eastAsiaTheme="minorEastAsia"/>
                <w:b/>
                <w:bCs/>
                <w:sz w:val="21"/>
                <w:szCs w:val="21"/>
                <w:lang w:val="en-US" w:eastAsia="zh-CN"/>
              </w:rPr>
              <w:t>农业局</w:t>
            </w:r>
          </w:p>
        </w:tc>
        <w:tc>
          <w:tcPr>
            <w:tcW w:w="696"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rPr>
                <w:rFonts w:hint="default" w:ascii="Times New Roman" w:hAnsi="Times New Roman" w:eastAsia="仿宋_GB2312" w:cs="Times New Roman"/>
                <w:b/>
                <w:bCs/>
                <w:sz w:val="21"/>
                <w:szCs w:val="21"/>
                <w:lang w:val="en-US" w:eastAsia="zh-CN"/>
              </w:rPr>
            </w:pPr>
            <w:r>
              <w:rPr>
                <w:rFonts w:hint="default" w:ascii="Times New Roman" w:hAnsi="Times New Roman" w:eastAsia="仿宋_GB2312" w:cs="Times New Roman"/>
                <w:b/>
                <w:bCs/>
                <w:sz w:val="21"/>
                <w:szCs w:val="21"/>
                <w:lang w:val="en-US" w:eastAsia="zh-CN"/>
              </w:rPr>
              <w:t>6</w:t>
            </w:r>
            <w:r>
              <w:rPr>
                <w:rFonts w:hint="eastAsia" w:ascii="Times New Roman" w:hAnsi="Times New Roman" w:eastAsia="仿宋_GB2312" w:cs="Times New Roman"/>
                <w:b/>
                <w:bCs/>
                <w:sz w:val="21"/>
                <w:szCs w:val="21"/>
                <w:lang w:val="en-US" w:eastAsia="zh-CN"/>
              </w:rPr>
              <w:t>9</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eastAsia="仿宋_GB2312" w:cs="Times New Roman"/>
                <w:b/>
                <w:bCs/>
                <w:sz w:val="21"/>
                <w:szCs w:val="21"/>
                <w:lang w:val="en-US" w:eastAsia="zh-CN"/>
              </w:rPr>
            </w:pPr>
            <w:r>
              <w:rPr>
                <w:rFonts w:hint="default" w:ascii="Times New Roman" w:hAnsi="Times New Roman" w:cs="Times New Roman"/>
                <w:b/>
                <w:bCs/>
                <w:sz w:val="21"/>
                <w:szCs w:val="21"/>
                <w:lang w:eastAsia="zh-CN"/>
              </w:rPr>
              <w:t>缺少专用小麦、专用玉米新品种、新技术</w:t>
            </w:r>
          </w:p>
        </w:tc>
        <w:tc>
          <w:tcPr>
            <w:tcW w:w="1128" w:type="dxa"/>
            <w:vAlign w:val="center"/>
          </w:tcPr>
          <w:p>
            <w:pPr>
              <w:widowControl/>
              <w:jc w:val="center"/>
              <w:rPr>
                <w:rFonts w:hint="default" w:ascii="Times New Roman" w:hAnsi="Times New Roman" w:eastAsia="仿宋_GB2312" w:cs="Times New Roman"/>
                <w:b/>
                <w:bCs/>
                <w:sz w:val="21"/>
                <w:szCs w:val="21"/>
                <w:lang w:val="en-US" w:eastAsia="zh-CN"/>
              </w:rPr>
            </w:pPr>
            <w:r>
              <w:rPr>
                <w:rFonts w:hint="default" w:ascii="Times New Roman" w:hAnsi="Times New Roman" w:cs="Times New Roman"/>
                <w:b/>
                <w:bCs/>
                <w:sz w:val="21"/>
                <w:szCs w:val="21"/>
                <w:lang w:eastAsia="zh-CN"/>
              </w:rPr>
              <w:t>技术推广领域</w:t>
            </w:r>
          </w:p>
        </w:tc>
        <w:tc>
          <w:tcPr>
            <w:tcW w:w="1104" w:type="dxa"/>
            <w:vAlign w:val="center"/>
          </w:tcPr>
          <w:p>
            <w:pPr>
              <w:widowControl/>
              <w:jc w:val="center"/>
              <w:rPr>
                <w:rFonts w:hint="default" w:ascii="Times New Roman" w:hAnsi="Times New Roman" w:eastAsia="仿宋_GB2312" w:cs="Times New Roman"/>
                <w:b/>
                <w:bCs/>
                <w:sz w:val="21"/>
                <w:szCs w:val="21"/>
                <w:lang w:val="en-US" w:eastAsia="zh-CN"/>
              </w:rPr>
            </w:pPr>
            <w:r>
              <w:rPr>
                <w:rFonts w:hint="default" w:ascii="Times New Roman" w:hAnsi="Times New Roman" w:cs="Times New Roman"/>
                <w:b/>
                <w:bCs/>
                <w:sz w:val="21"/>
                <w:szCs w:val="21"/>
                <w:lang w:val="en-US" w:eastAsia="zh-CN"/>
              </w:rPr>
              <w:t>技术指导</w:t>
            </w:r>
          </w:p>
        </w:tc>
        <w:tc>
          <w:tcPr>
            <w:tcW w:w="145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lang w:val="en-US" w:eastAsia="zh-CN"/>
              </w:rPr>
            </w:pPr>
            <w:r>
              <w:rPr>
                <w:rFonts w:hint="default" w:ascii="Times New Roman" w:hAnsi="Times New Roman" w:cs="Times New Roman"/>
                <w:b/>
                <w:bCs/>
                <w:sz w:val="21"/>
                <w:szCs w:val="21"/>
                <w:lang w:val="en-US" w:eastAsia="zh-CN"/>
              </w:rPr>
              <w:t>李涛13853469168</w:t>
            </w:r>
          </w:p>
        </w:tc>
        <w:tc>
          <w:tcPr>
            <w:tcW w:w="49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lang w:val="en-US" w:eastAsia="zh-CN"/>
              </w:rPr>
            </w:pPr>
          </w:p>
        </w:tc>
        <w:tc>
          <w:tcPr>
            <w:tcW w:w="1320"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lang w:val="en-US" w:eastAsia="zh-CN"/>
              </w:rPr>
            </w:pPr>
          </w:p>
        </w:tc>
        <w:tc>
          <w:tcPr>
            <w:tcW w:w="696"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rPr>
                <w:rFonts w:hint="default" w:ascii="Times New Roman" w:hAnsi="Times New Roman" w:eastAsia="仿宋_GB2312" w:cs="Times New Roman"/>
                <w:b/>
                <w:bCs/>
                <w:sz w:val="21"/>
                <w:szCs w:val="21"/>
                <w:lang w:val="en-US" w:eastAsia="zh-CN"/>
              </w:rPr>
            </w:pPr>
            <w:r>
              <w:rPr>
                <w:rFonts w:hint="eastAsia" w:ascii="Times New Roman" w:hAnsi="Times New Roman" w:eastAsia="仿宋_GB2312" w:cs="Times New Roman"/>
                <w:b/>
                <w:bCs/>
                <w:sz w:val="21"/>
                <w:szCs w:val="21"/>
                <w:lang w:val="en-US" w:eastAsia="zh-CN"/>
              </w:rPr>
              <w:t>70</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eastAsia="仿宋_GB2312" w:cs="Times New Roman"/>
                <w:b/>
                <w:bCs/>
                <w:sz w:val="21"/>
                <w:szCs w:val="21"/>
                <w:lang w:val="en-US" w:eastAsia="zh-CN"/>
              </w:rPr>
            </w:pPr>
            <w:r>
              <w:rPr>
                <w:rFonts w:hint="default" w:ascii="Times New Roman" w:hAnsi="Times New Roman" w:cs="Times New Roman"/>
                <w:b/>
                <w:bCs/>
                <w:sz w:val="21"/>
                <w:szCs w:val="21"/>
                <w:lang w:eastAsia="zh-CN"/>
              </w:rPr>
              <w:t>土壤肥料检测条件落后，不具备检测能力</w:t>
            </w:r>
          </w:p>
        </w:tc>
        <w:tc>
          <w:tcPr>
            <w:tcW w:w="1128" w:type="dxa"/>
            <w:vAlign w:val="center"/>
          </w:tcPr>
          <w:p>
            <w:pPr>
              <w:widowControl/>
              <w:jc w:val="center"/>
              <w:rPr>
                <w:rFonts w:hint="default" w:ascii="Times New Roman" w:hAnsi="Times New Roman" w:eastAsia="仿宋_GB2312" w:cs="Times New Roman"/>
                <w:b/>
                <w:bCs/>
                <w:sz w:val="21"/>
                <w:szCs w:val="21"/>
                <w:lang w:val="en-US" w:eastAsia="zh-CN"/>
              </w:rPr>
            </w:pPr>
            <w:r>
              <w:rPr>
                <w:rFonts w:hint="default" w:ascii="Times New Roman" w:hAnsi="Times New Roman" w:cs="Times New Roman"/>
                <w:b/>
                <w:bCs/>
                <w:sz w:val="21"/>
                <w:szCs w:val="21"/>
                <w:lang w:eastAsia="zh-CN"/>
              </w:rPr>
              <w:t>土肥领域</w:t>
            </w:r>
          </w:p>
        </w:tc>
        <w:tc>
          <w:tcPr>
            <w:tcW w:w="1104" w:type="dxa"/>
            <w:vAlign w:val="center"/>
          </w:tcPr>
          <w:p>
            <w:pPr>
              <w:widowControl/>
              <w:jc w:val="center"/>
              <w:rPr>
                <w:rFonts w:hint="default" w:ascii="Times New Roman" w:hAnsi="Times New Roman" w:eastAsia="仿宋_GB2312" w:cs="Times New Roman"/>
                <w:b/>
                <w:bCs/>
                <w:sz w:val="21"/>
                <w:szCs w:val="21"/>
                <w:lang w:val="en-US" w:eastAsia="zh-CN"/>
              </w:rPr>
            </w:pPr>
            <w:r>
              <w:rPr>
                <w:rFonts w:hint="default" w:ascii="Times New Roman" w:hAnsi="Times New Roman" w:cs="Times New Roman"/>
                <w:b/>
                <w:bCs/>
                <w:sz w:val="21"/>
                <w:szCs w:val="21"/>
                <w:lang w:val="en-US" w:eastAsia="zh-CN"/>
              </w:rPr>
              <w:t>技术指导</w:t>
            </w:r>
          </w:p>
        </w:tc>
        <w:tc>
          <w:tcPr>
            <w:tcW w:w="145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lang w:val="en-US" w:eastAsia="zh-CN"/>
              </w:rPr>
            </w:pPr>
          </w:p>
        </w:tc>
        <w:tc>
          <w:tcPr>
            <w:tcW w:w="49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lang w:val="en-US" w:eastAsia="zh-CN"/>
              </w:rPr>
            </w:pPr>
          </w:p>
        </w:tc>
        <w:tc>
          <w:tcPr>
            <w:tcW w:w="1320"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lang w:val="en-US" w:eastAsia="zh-CN"/>
              </w:rPr>
            </w:pPr>
          </w:p>
        </w:tc>
        <w:tc>
          <w:tcPr>
            <w:tcW w:w="696"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rPr>
                <w:rFonts w:hint="default" w:ascii="Times New Roman" w:hAnsi="Times New Roman" w:eastAsia="仿宋_GB2312" w:cs="Times New Roman"/>
                <w:b/>
                <w:bCs/>
                <w:sz w:val="21"/>
                <w:szCs w:val="21"/>
                <w:lang w:val="en-US" w:eastAsia="zh-CN"/>
              </w:rPr>
            </w:pPr>
            <w:r>
              <w:rPr>
                <w:rFonts w:hint="eastAsia" w:ascii="Times New Roman" w:hAnsi="Times New Roman" w:eastAsia="仿宋_GB2312" w:cs="Times New Roman"/>
                <w:b/>
                <w:bCs/>
                <w:sz w:val="21"/>
                <w:szCs w:val="21"/>
                <w:lang w:val="en-US" w:eastAsia="zh-CN"/>
              </w:rPr>
              <w:t>71</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eastAsia="仿宋_GB2312" w:cs="Times New Roman"/>
                <w:b/>
                <w:bCs/>
                <w:sz w:val="21"/>
                <w:szCs w:val="21"/>
                <w:lang w:val="en-US" w:eastAsia="zh-CN"/>
              </w:rPr>
            </w:pPr>
            <w:r>
              <w:rPr>
                <w:rFonts w:hint="default" w:ascii="Times New Roman" w:hAnsi="Times New Roman" w:cs="Times New Roman"/>
                <w:b/>
                <w:bCs/>
                <w:sz w:val="21"/>
                <w:szCs w:val="21"/>
                <w:lang w:eastAsia="zh-CN"/>
              </w:rPr>
              <w:t>新品种、新技术推广缺少制高点和亮点，试验田基础设施薄弱</w:t>
            </w:r>
          </w:p>
        </w:tc>
        <w:tc>
          <w:tcPr>
            <w:tcW w:w="1128" w:type="dxa"/>
            <w:vAlign w:val="center"/>
          </w:tcPr>
          <w:p>
            <w:pPr>
              <w:widowControl/>
              <w:jc w:val="center"/>
              <w:rPr>
                <w:rFonts w:hint="default" w:ascii="Times New Roman" w:hAnsi="Times New Roman" w:eastAsia="仿宋_GB2312" w:cs="Times New Roman"/>
                <w:b/>
                <w:bCs/>
                <w:sz w:val="21"/>
                <w:szCs w:val="21"/>
                <w:lang w:val="en-US" w:eastAsia="zh-CN"/>
              </w:rPr>
            </w:pPr>
            <w:r>
              <w:rPr>
                <w:rFonts w:hint="default" w:ascii="Times New Roman" w:hAnsi="Times New Roman" w:cs="Times New Roman"/>
                <w:b/>
                <w:bCs/>
                <w:sz w:val="21"/>
                <w:szCs w:val="21"/>
                <w:lang w:eastAsia="zh-CN"/>
              </w:rPr>
              <w:t>技术推广领域</w:t>
            </w:r>
          </w:p>
        </w:tc>
        <w:tc>
          <w:tcPr>
            <w:tcW w:w="1104" w:type="dxa"/>
            <w:vAlign w:val="center"/>
          </w:tcPr>
          <w:p>
            <w:pPr>
              <w:widowControl/>
              <w:jc w:val="center"/>
              <w:rPr>
                <w:rFonts w:hint="default" w:ascii="Times New Roman" w:hAnsi="Times New Roman" w:eastAsia="仿宋_GB2312" w:cs="Times New Roman"/>
                <w:b/>
                <w:bCs/>
                <w:sz w:val="21"/>
                <w:szCs w:val="21"/>
                <w:lang w:val="en-US" w:eastAsia="zh-CN"/>
              </w:rPr>
            </w:pPr>
            <w:r>
              <w:rPr>
                <w:rFonts w:hint="default" w:ascii="Times New Roman" w:hAnsi="Times New Roman" w:cs="Times New Roman"/>
                <w:b/>
                <w:bCs/>
                <w:sz w:val="21"/>
                <w:szCs w:val="21"/>
                <w:lang w:val="en-US" w:eastAsia="zh-CN"/>
              </w:rPr>
              <w:t>技术指导</w:t>
            </w:r>
          </w:p>
        </w:tc>
        <w:tc>
          <w:tcPr>
            <w:tcW w:w="145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lang w:val="en-US" w:eastAsia="zh-CN"/>
              </w:rPr>
            </w:pPr>
          </w:p>
        </w:tc>
        <w:tc>
          <w:tcPr>
            <w:tcW w:w="49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492" w:type="dxa"/>
            <w:vMerge w:val="restart"/>
            <w:vAlign w:val="center"/>
          </w:tcPr>
          <w:p>
            <w:pPr>
              <w:widowControl/>
              <w:jc w:val="center"/>
              <w:rPr>
                <w:rFonts w:hint="default" w:ascii="Times New Roman" w:hAnsi="Times New Roman" w:eastAsia="仿宋_GB2312" w:cs="Times New Roman"/>
                <w:b/>
                <w:bCs/>
                <w:sz w:val="21"/>
                <w:szCs w:val="21"/>
                <w:lang w:val="en-US" w:eastAsia="zh-CN"/>
              </w:rPr>
            </w:pPr>
            <w:r>
              <w:rPr>
                <w:rFonts w:hint="eastAsia" w:ascii="Times New Roman" w:hAnsi="Times New Roman" w:eastAsia="仿宋_GB2312" w:cs="Times New Roman"/>
                <w:b/>
                <w:bCs/>
                <w:sz w:val="21"/>
                <w:szCs w:val="21"/>
                <w:lang w:val="en-US" w:eastAsia="zh-CN"/>
              </w:rPr>
              <w:t>30</w:t>
            </w:r>
          </w:p>
        </w:tc>
        <w:tc>
          <w:tcPr>
            <w:tcW w:w="1320" w:type="dxa"/>
            <w:vMerge w:val="restart"/>
            <w:vAlign w:val="center"/>
          </w:tcPr>
          <w:p>
            <w:pPr>
              <w:widowControl/>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林业局</w:t>
            </w:r>
          </w:p>
        </w:tc>
        <w:tc>
          <w:tcPr>
            <w:tcW w:w="696" w:type="dxa"/>
            <w:vAlign w:val="center"/>
          </w:tcPr>
          <w:p>
            <w:pPr>
              <w:widowControl/>
              <w:jc w:val="center"/>
              <w:rPr>
                <w:rFonts w:hint="default" w:ascii="Times New Roman" w:hAnsi="Times New Roman" w:eastAsia="仿宋_GB2312" w:cs="Times New Roman"/>
                <w:b/>
                <w:bCs/>
                <w:sz w:val="21"/>
                <w:szCs w:val="21"/>
                <w:lang w:val="en-US" w:eastAsia="zh-CN"/>
              </w:rPr>
            </w:pPr>
            <w:r>
              <w:rPr>
                <w:rFonts w:hint="eastAsia" w:ascii="Times New Roman" w:hAnsi="Times New Roman" w:eastAsia="仿宋_GB2312" w:cs="Times New Roman"/>
                <w:b/>
                <w:bCs/>
                <w:sz w:val="21"/>
                <w:szCs w:val="21"/>
                <w:lang w:val="en-US" w:eastAsia="zh-CN"/>
              </w:rPr>
              <w:t>72</w:t>
            </w:r>
          </w:p>
        </w:tc>
        <w:tc>
          <w:tcPr>
            <w:tcW w:w="7956" w:type="dxa"/>
            <w:vAlign w:val="center"/>
          </w:tcPr>
          <w:p>
            <w:pPr>
              <w:widowControl/>
              <w:spacing w:line="240" w:lineRule="exact"/>
              <w:jc w:val="left"/>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rPr>
              <w:t>选育平原地区营建杨树速生丰产林优良品种。当前我市速生丰产林以欧美杨107为主，春季杨柳飘絮严重，造成环境污染，亟待选用推广新的杨柳树品种。</w:t>
            </w:r>
          </w:p>
        </w:tc>
        <w:tc>
          <w:tcPr>
            <w:tcW w:w="1128" w:type="dxa"/>
            <w:vAlign w:val="center"/>
          </w:tcPr>
          <w:p>
            <w:pPr>
              <w:widowControl/>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rPr>
              <w:t>林业局技术</w:t>
            </w:r>
          </w:p>
        </w:tc>
        <w:tc>
          <w:tcPr>
            <w:tcW w:w="1104" w:type="dxa"/>
            <w:vAlign w:val="center"/>
          </w:tcPr>
          <w:p>
            <w:pPr>
              <w:widowControl/>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技术指导</w:t>
            </w:r>
          </w:p>
        </w:tc>
        <w:tc>
          <w:tcPr>
            <w:tcW w:w="1452" w:type="dxa"/>
            <w:vAlign w:val="center"/>
          </w:tcPr>
          <w:p>
            <w:pPr>
              <w:widowControl/>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李红静</w:t>
            </w:r>
          </w:p>
          <w:p>
            <w:pPr>
              <w:widowControl/>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8217865</w:t>
            </w:r>
          </w:p>
          <w:p>
            <w:pPr>
              <w:widowControl/>
              <w:jc w:val="center"/>
              <w:rPr>
                <w:rFonts w:hint="default" w:ascii="Times New Roman" w:hAnsi="Times New Roman" w:cs="Times New Roman"/>
                <w:b/>
                <w:bCs/>
                <w:sz w:val="21"/>
                <w:szCs w:val="21"/>
                <w:lang w:val="en-US" w:eastAsia="zh-CN"/>
              </w:rPr>
            </w:pPr>
          </w:p>
        </w:tc>
        <w:tc>
          <w:tcPr>
            <w:tcW w:w="49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492" w:type="dxa"/>
            <w:vMerge w:val="continue"/>
            <w:vAlign w:val="center"/>
          </w:tcPr>
          <w:p>
            <w:pPr>
              <w:widowControl/>
              <w:jc w:val="center"/>
              <w:rPr>
                <w:rFonts w:hint="default" w:ascii="Times New Roman" w:hAnsi="Times New Roman" w:eastAsia="仿宋_GB2312" w:cs="Times New Roman"/>
                <w:b/>
                <w:bCs/>
                <w:sz w:val="21"/>
                <w:szCs w:val="21"/>
                <w:lang w:val="en-US" w:eastAsia="zh-CN"/>
              </w:rPr>
            </w:pPr>
          </w:p>
        </w:tc>
        <w:tc>
          <w:tcPr>
            <w:tcW w:w="1320" w:type="dxa"/>
            <w:vMerge w:val="continue"/>
            <w:vAlign w:val="center"/>
          </w:tcPr>
          <w:p>
            <w:pPr>
              <w:widowControl/>
              <w:jc w:val="center"/>
              <w:rPr>
                <w:rFonts w:hint="default" w:ascii="Times New Roman" w:hAnsi="Times New Roman" w:cs="Times New Roman"/>
                <w:b/>
                <w:bCs/>
                <w:sz w:val="21"/>
                <w:szCs w:val="21"/>
                <w:lang w:val="en-US" w:eastAsia="zh-CN"/>
              </w:rPr>
            </w:pPr>
          </w:p>
        </w:tc>
        <w:tc>
          <w:tcPr>
            <w:tcW w:w="696" w:type="dxa"/>
            <w:vAlign w:val="center"/>
          </w:tcPr>
          <w:p>
            <w:pPr>
              <w:widowControl/>
              <w:jc w:val="center"/>
              <w:rPr>
                <w:rFonts w:hint="default" w:ascii="Times New Roman" w:hAnsi="Times New Roman" w:eastAsia="仿宋_GB2312" w:cs="Times New Roman"/>
                <w:b/>
                <w:bCs/>
                <w:sz w:val="21"/>
                <w:szCs w:val="21"/>
                <w:lang w:val="en-US" w:eastAsia="zh-CN"/>
              </w:rPr>
            </w:pPr>
            <w:r>
              <w:rPr>
                <w:rFonts w:hint="default" w:ascii="Times New Roman" w:hAnsi="Times New Roman" w:eastAsia="仿宋_GB2312" w:cs="Times New Roman"/>
                <w:b/>
                <w:bCs/>
                <w:sz w:val="21"/>
                <w:szCs w:val="21"/>
                <w:lang w:val="en-US" w:eastAsia="zh-CN"/>
              </w:rPr>
              <w:t>7</w:t>
            </w:r>
            <w:r>
              <w:rPr>
                <w:rFonts w:hint="eastAsia" w:ascii="Times New Roman" w:hAnsi="Times New Roman" w:eastAsia="仿宋_GB2312" w:cs="Times New Roman"/>
                <w:b/>
                <w:bCs/>
                <w:sz w:val="21"/>
                <w:szCs w:val="21"/>
                <w:lang w:val="en-US" w:eastAsia="zh-CN"/>
              </w:rPr>
              <w:t>3</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eastAsia="zh-CN"/>
              </w:rPr>
              <w:t>提供林业病虫害防治技术支持，重点美国白蛾防治。</w:t>
            </w:r>
          </w:p>
        </w:tc>
        <w:tc>
          <w:tcPr>
            <w:tcW w:w="1128" w:type="dxa"/>
            <w:vAlign w:val="center"/>
          </w:tcPr>
          <w:p>
            <w:pPr>
              <w:widowControl/>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eastAsia="zh-CN"/>
              </w:rPr>
              <w:t>森林病虫害防治</w:t>
            </w:r>
          </w:p>
        </w:tc>
        <w:tc>
          <w:tcPr>
            <w:tcW w:w="1104" w:type="dxa"/>
            <w:vAlign w:val="center"/>
          </w:tcPr>
          <w:p>
            <w:pPr>
              <w:widowControl/>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技术指导</w:t>
            </w:r>
          </w:p>
        </w:tc>
        <w:tc>
          <w:tcPr>
            <w:tcW w:w="1452" w:type="dxa"/>
            <w:vAlign w:val="center"/>
          </w:tcPr>
          <w:p>
            <w:pPr>
              <w:widowControl/>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eastAsia="zh-CN"/>
              </w:rPr>
              <w:t>张传奇</w:t>
            </w:r>
            <w:r>
              <w:rPr>
                <w:rFonts w:hint="default" w:ascii="Times New Roman" w:hAnsi="Times New Roman" w:cs="Times New Roman"/>
                <w:b/>
                <w:bCs/>
                <w:sz w:val="21"/>
                <w:szCs w:val="21"/>
                <w:lang w:val="en-US" w:eastAsia="zh-CN"/>
              </w:rPr>
              <w:t>0534-8217872</w:t>
            </w:r>
          </w:p>
        </w:tc>
        <w:tc>
          <w:tcPr>
            <w:tcW w:w="49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492" w:type="dxa"/>
            <w:vAlign w:val="center"/>
          </w:tcPr>
          <w:p>
            <w:pPr>
              <w:widowControl/>
              <w:jc w:val="center"/>
              <w:rPr>
                <w:rFonts w:hint="default" w:ascii="Times New Roman" w:hAnsi="Times New Roman" w:eastAsia="仿宋_GB2312" w:cs="Times New Roman"/>
                <w:b/>
                <w:bCs/>
                <w:sz w:val="21"/>
                <w:szCs w:val="21"/>
                <w:lang w:val="en-US" w:eastAsia="zh-CN"/>
              </w:rPr>
            </w:pPr>
            <w:r>
              <w:rPr>
                <w:rFonts w:hint="eastAsia" w:ascii="Times New Roman" w:hAnsi="Times New Roman" w:eastAsia="仿宋_GB2312" w:cs="Times New Roman"/>
                <w:b/>
                <w:bCs/>
                <w:sz w:val="21"/>
                <w:szCs w:val="21"/>
                <w:lang w:val="en-US" w:eastAsia="zh-CN"/>
              </w:rPr>
              <w:t>31</w:t>
            </w:r>
          </w:p>
        </w:tc>
        <w:tc>
          <w:tcPr>
            <w:tcW w:w="1320" w:type="dxa"/>
            <w:vAlign w:val="center"/>
          </w:tcPr>
          <w:p>
            <w:pPr>
              <w:widowControl/>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畜牧局</w:t>
            </w:r>
          </w:p>
        </w:tc>
        <w:tc>
          <w:tcPr>
            <w:tcW w:w="696" w:type="dxa"/>
            <w:vAlign w:val="center"/>
          </w:tcPr>
          <w:p>
            <w:pPr>
              <w:widowControl/>
              <w:jc w:val="center"/>
              <w:rPr>
                <w:rFonts w:hint="default" w:ascii="Times New Roman" w:hAnsi="Times New Roman" w:eastAsia="仿宋_GB2312" w:cs="Times New Roman"/>
                <w:b/>
                <w:bCs/>
                <w:sz w:val="21"/>
                <w:szCs w:val="21"/>
                <w:lang w:val="en-US" w:eastAsia="zh-CN"/>
              </w:rPr>
            </w:pPr>
            <w:r>
              <w:rPr>
                <w:rFonts w:hint="default" w:ascii="Times New Roman" w:hAnsi="Times New Roman" w:eastAsia="仿宋_GB2312" w:cs="Times New Roman"/>
                <w:b/>
                <w:bCs/>
                <w:sz w:val="21"/>
                <w:szCs w:val="21"/>
                <w:lang w:val="en-US" w:eastAsia="zh-CN"/>
              </w:rPr>
              <w:t>7</w:t>
            </w:r>
            <w:r>
              <w:rPr>
                <w:rFonts w:hint="eastAsia" w:ascii="Times New Roman" w:hAnsi="Times New Roman" w:eastAsia="仿宋_GB2312" w:cs="Times New Roman"/>
                <w:b/>
                <w:bCs/>
                <w:sz w:val="21"/>
                <w:szCs w:val="21"/>
                <w:lang w:val="en-US" w:eastAsia="zh-CN"/>
              </w:rPr>
              <w:t>4</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畜禽养殖粪污综合治理及资源化利用，包括全市的粪污治理方案，一些养殖场、小区的治污方案，尤其突出的问题是污水无害化处理及资源利用问题</w:t>
            </w:r>
          </w:p>
        </w:tc>
        <w:tc>
          <w:tcPr>
            <w:tcW w:w="1128" w:type="dxa"/>
            <w:vAlign w:val="center"/>
          </w:tcPr>
          <w:p>
            <w:pPr>
              <w:widowControl/>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畜牧业</w:t>
            </w:r>
          </w:p>
        </w:tc>
        <w:tc>
          <w:tcPr>
            <w:tcW w:w="1104" w:type="dxa"/>
            <w:vAlign w:val="center"/>
          </w:tcPr>
          <w:p>
            <w:pPr>
              <w:widowControl/>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技术指导</w:t>
            </w:r>
          </w:p>
        </w:tc>
        <w:tc>
          <w:tcPr>
            <w:tcW w:w="1452" w:type="dxa"/>
            <w:vAlign w:val="center"/>
          </w:tcPr>
          <w:p>
            <w:pPr>
              <w:widowControl/>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魏晓静</w:t>
            </w:r>
          </w:p>
          <w:p>
            <w:pPr>
              <w:widowControl/>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val="en-US" w:eastAsia="zh-CN"/>
              </w:rPr>
              <w:t>18561198176</w:t>
            </w:r>
          </w:p>
        </w:tc>
        <w:tc>
          <w:tcPr>
            <w:tcW w:w="49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492" w:type="dxa"/>
            <w:vAlign w:val="center"/>
          </w:tcPr>
          <w:p>
            <w:pPr>
              <w:widowControl/>
              <w:jc w:val="center"/>
              <w:rPr>
                <w:rFonts w:hint="default" w:ascii="Times New Roman" w:hAnsi="Times New Roman" w:eastAsia="仿宋_GB2312" w:cs="Times New Roman"/>
                <w:b/>
                <w:bCs/>
                <w:sz w:val="21"/>
                <w:szCs w:val="21"/>
                <w:lang w:val="en-US" w:eastAsia="zh-CN"/>
              </w:rPr>
            </w:pPr>
            <w:r>
              <w:rPr>
                <w:rFonts w:hint="eastAsia" w:ascii="Times New Roman" w:hAnsi="Times New Roman" w:eastAsia="仿宋_GB2312" w:cs="Times New Roman"/>
                <w:b/>
                <w:bCs/>
                <w:sz w:val="21"/>
                <w:szCs w:val="21"/>
                <w:lang w:val="en-US" w:eastAsia="zh-CN"/>
              </w:rPr>
              <w:t>32</w:t>
            </w:r>
          </w:p>
        </w:tc>
        <w:tc>
          <w:tcPr>
            <w:tcW w:w="1320" w:type="dxa"/>
            <w:vAlign w:val="center"/>
          </w:tcPr>
          <w:p>
            <w:pPr>
              <w:widowControl/>
              <w:jc w:val="center"/>
              <w:rPr>
                <w:rFonts w:hint="default" w:ascii="Times New Roman" w:hAnsi="Times New Roman" w:eastAsia="仿宋_GB2312" w:cs="Times New Roman"/>
                <w:b/>
                <w:bCs/>
                <w:sz w:val="21"/>
                <w:szCs w:val="21"/>
                <w:lang w:val="en-US" w:eastAsia="zh-CN"/>
              </w:rPr>
            </w:pPr>
            <w:r>
              <w:rPr>
                <w:rFonts w:hint="default" w:ascii="Times New Roman" w:hAnsi="Times New Roman" w:cs="Times New Roman"/>
                <w:b/>
                <w:bCs/>
                <w:sz w:val="21"/>
                <w:szCs w:val="21"/>
                <w:lang w:val="en-US" w:eastAsia="zh-CN"/>
              </w:rPr>
              <w:t>农工办</w:t>
            </w:r>
          </w:p>
        </w:tc>
        <w:tc>
          <w:tcPr>
            <w:tcW w:w="696" w:type="dxa"/>
            <w:vAlign w:val="center"/>
          </w:tcPr>
          <w:p>
            <w:pPr>
              <w:widowControl/>
              <w:jc w:val="center"/>
              <w:rPr>
                <w:rFonts w:hint="default" w:ascii="Times New Roman" w:hAnsi="Times New Roman" w:eastAsia="仿宋_GB2312" w:cs="Times New Roman"/>
                <w:b/>
                <w:bCs/>
                <w:sz w:val="21"/>
                <w:szCs w:val="21"/>
                <w:lang w:val="en-US" w:eastAsia="zh-CN"/>
              </w:rPr>
            </w:pPr>
            <w:r>
              <w:rPr>
                <w:rFonts w:hint="default" w:ascii="Times New Roman" w:hAnsi="Times New Roman" w:eastAsia="仿宋_GB2312" w:cs="Times New Roman"/>
                <w:b/>
                <w:bCs/>
                <w:sz w:val="21"/>
                <w:szCs w:val="21"/>
                <w:lang w:val="en-US" w:eastAsia="zh-CN"/>
              </w:rPr>
              <w:t>7</w:t>
            </w:r>
            <w:r>
              <w:rPr>
                <w:rFonts w:hint="eastAsia" w:ascii="Times New Roman" w:hAnsi="Times New Roman" w:eastAsia="仿宋_GB2312" w:cs="Times New Roman"/>
                <w:b/>
                <w:bCs/>
                <w:sz w:val="21"/>
                <w:szCs w:val="21"/>
                <w:lang w:val="en-US" w:eastAsia="zh-CN"/>
              </w:rPr>
              <w:t>5</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val="en-US" w:eastAsia="zh-CN"/>
              </w:rPr>
              <w:t>乡村振兴规划编制</w:t>
            </w:r>
          </w:p>
        </w:tc>
        <w:tc>
          <w:tcPr>
            <w:tcW w:w="1128" w:type="dxa"/>
            <w:vAlign w:val="center"/>
          </w:tcPr>
          <w:p>
            <w:pPr>
              <w:widowControl/>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val="en-US" w:eastAsia="zh-CN"/>
              </w:rPr>
              <w:t>规划</w:t>
            </w:r>
          </w:p>
        </w:tc>
        <w:tc>
          <w:tcPr>
            <w:tcW w:w="1104" w:type="dxa"/>
            <w:vAlign w:val="center"/>
          </w:tcPr>
          <w:p>
            <w:pPr>
              <w:widowControl/>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技术指导</w:t>
            </w:r>
          </w:p>
        </w:tc>
        <w:tc>
          <w:tcPr>
            <w:tcW w:w="1452" w:type="dxa"/>
            <w:vAlign w:val="center"/>
          </w:tcPr>
          <w:p>
            <w:pPr>
              <w:widowControl/>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王德付</w:t>
            </w:r>
          </w:p>
          <w:p>
            <w:pPr>
              <w:widowControl/>
              <w:jc w:val="center"/>
              <w:rPr>
                <w:rFonts w:hint="default" w:ascii="Times New Roman" w:hAnsi="Times New Roman" w:eastAsia="仿宋_GB2312" w:cs="Times New Roman"/>
                <w:b/>
                <w:bCs/>
                <w:sz w:val="21"/>
                <w:szCs w:val="21"/>
                <w:lang w:val="en-US" w:eastAsia="zh-CN"/>
              </w:rPr>
            </w:pPr>
            <w:r>
              <w:rPr>
                <w:rFonts w:hint="default" w:ascii="Times New Roman" w:hAnsi="Times New Roman" w:cs="Times New Roman"/>
                <w:b/>
                <w:bCs/>
                <w:sz w:val="21"/>
                <w:szCs w:val="21"/>
                <w:lang w:val="en-US" w:eastAsia="zh-CN"/>
              </w:rPr>
              <w:t>15963380508</w:t>
            </w:r>
          </w:p>
        </w:tc>
        <w:tc>
          <w:tcPr>
            <w:tcW w:w="49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492" w:type="dxa"/>
            <w:vAlign w:val="center"/>
          </w:tcPr>
          <w:p>
            <w:pPr>
              <w:widowControl/>
              <w:jc w:val="center"/>
              <w:rPr>
                <w:rFonts w:hint="default" w:ascii="Times New Roman" w:hAnsi="Times New Roman" w:eastAsia="仿宋_GB2312" w:cs="Times New Roman"/>
                <w:b/>
                <w:bCs/>
                <w:sz w:val="21"/>
                <w:szCs w:val="21"/>
                <w:lang w:val="en-US" w:eastAsia="zh-CN"/>
              </w:rPr>
            </w:pPr>
            <w:r>
              <w:rPr>
                <w:rFonts w:hint="default" w:ascii="Times New Roman" w:hAnsi="Times New Roman" w:eastAsia="仿宋_GB2312" w:cs="Times New Roman"/>
                <w:b/>
                <w:bCs/>
                <w:sz w:val="21"/>
                <w:szCs w:val="21"/>
                <w:lang w:val="en-US" w:eastAsia="zh-CN"/>
              </w:rPr>
              <w:t>3</w:t>
            </w:r>
            <w:r>
              <w:rPr>
                <w:rFonts w:hint="eastAsia" w:ascii="Times New Roman" w:hAnsi="Times New Roman" w:eastAsia="仿宋_GB2312" w:cs="Times New Roman"/>
                <w:b/>
                <w:bCs/>
                <w:sz w:val="21"/>
                <w:szCs w:val="21"/>
                <w:lang w:val="en-US" w:eastAsia="zh-CN"/>
              </w:rPr>
              <w:t>3</w:t>
            </w:r>
          </w:p>
        </w:tc>
        <w:tc>
          <w:tcPr>
            <w:tcW w:w="1320"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eastAsia="zh-CN"/>
              </w:rPr>
              <w:t>水产办</w:t>
            </w: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7</w:t>
            </w:r>
            <w:r>
              <w:rPr>
                <w:rFonts w:hint="eastAsia" w:ascii="Times New Roman" w:hAnsi="Times New Roman" w:cs="Times New Roman"/>
                <w:b/>
                <w:bCs/>
                <w:sz w:val="21"/>
                <w:szCs w:val="21"/>
                <w:lang w:val="en-US" w:eastAsia="zh-CN"/>
              </w:rPr>
              <w:t>6</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eastAsia="zh-CN"/>
              </w:rPr>
              <w:t>如何快速诊断锦鲤疱疹病毒病、鲤春病毒病</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eastAsia="zh-CN"/>
              </w:rPr>
              <w:t>水产养殖</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技术指导</w:t>
            </w:r>
          </w:p>
        </w:tc>
        <w:tc>
          <w:tcPr>
            <w:tcW w:w="145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耿红军</w:t>
            </w:r>
          </w:p>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0534-7356226</w:t>
            </w:r>
          </w:p>
        </w:tc>
        <w:tc>
          <w:tcPr>
            <w:tcW w:w="49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49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lang w:val="en-US" w:eastAsia="zh-CN"/>
              </w:rPr>
            </w:pPr>
            <w:r>
              <w:rPr>
                <w:rFonts w:hint="default" w:ascii="Times New Roman" w:hAnsi="Times New Roman" w:eastAsia="仿宋_GB2312" w:cs="Times New Roman"/>
                <w:b/>
                <w:bCs/>
                <w:sz w:val="21"/>
                <w:szCs w:val="21"/>
                <w:lang w:val="en-US" w:eastAsia="zh-CN"/>
              </w:rPr>
              <w:t>3</w:t>
            </w:r>
            <w:r>
              <w:rPr>
                <w:rFonts w:hint="eastAsia" w:ascii="Times New Roman" w:hAnsi="Times New Roman" w:eastAsia="仿宋_GB2312" w:cs="Times New Roman"/>
                <w:b/>
                <w:bCs/>
                <w:sz w:val="21"/>
                <w:szCs w:val="21"/>
                <w:lang w:val="en-US" w:eastAsia="zh-CN"/>
              </w:rPr>
              <w:t>4</w:t>
            </w:r>
          </w:p>
        </w:tc>
        <w:tc>
          <w:tcPr>
            <w:tcW w:w="1320" w:type="dxa"/>
            <w:vMerge w:val="restart"/>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蔬菜办</w:t>
            </w:r>
          </w:p>
        </w:tc>
        <w:tc>
          <w:tcPr>
            <w:tcW w:w="696"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7</w:t>
            </w:r>
            <w:r>
              <w:rPr>
                <w:rFonts w:hint="eastAsia" w:ascii="Times New Roman" w:hAnsi="Times New Roman" w:cs="Times New Roman"/>
                <w:b/>
                <w:bCs/>
                <w:sz w:val="21"/>
                <w:szCs w:val="21"/>
                <w:lang w:val="en-US" w:eastAsia="zh-CN"/>
              </w:rPr>
              <w:t>7</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eastAsia="zh-CN"/>
              </w:rPr>
              <w:t>蔬菜温室土壤盐渍化治理</w:t>
            </w:r>
          </w:p>
        </w:tc>
        <w:tc>
          <w:tcPr>
            <w:tcW w:w="1128"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eastAsia="zh-CN"/>
              </w:rPr>
              <w:t>土壤</w:t>
            </w:r>
          </w:p>
        </w:tc>
        <w:tc>
          <w:tcPr>
            <w:tcW w:w="1104" w:type="dxa"/>
            <w:vAlign w:val="center"/>
          </w:tcPr>
          <w:p>
            <w:pPr>
              <w:widowControl/>
              <w:numPr>
                <w:ilvl w:val="0"/>
                <w:numId w:val="0"/>
              </w:numPr>
              <w:spacing w:line="240" w:lineRule="exact"/>
              <w:ind w:left="0" w:leftChars="0" w:firstLine="0" w:firstLineChars="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技术指导</w:t>
            </w:r>
          </w:p>
        </w:tc>
        <w:tc>
          <w:tcPr>
            <w:tcW w:w="1452" w:type="dxa"/>
            <w:vMerge w:val="restart"/>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臧彦</w:t>
            </w:r>
          </w:p>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13583432003</w:t>
            </w:r>
          </w:p>
        </w:tc>
        <w:tc>
          <w:tcPr>
            <w:tcW w:w="49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lang w:val="en-US" w:eastAsia="zh-CN"/>
              </w:rPr>
            </w:pPr>
          </w:p>
        </w:tc>
        <w:tc>
          <w:tcPr>
            <w:tcW w:w="1320"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lang w:val="en-US" w:eastAsia="zh-CN"/>
              </w:rPr>
            </w:pPr>
          </w:p>
        </w:tc>
        <w:tc>
          <w:tcPr>
            <w:tcW w:w="696"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rPr>
                <w:rFonts w:hint="default" w:ascii="Times New Roman" w:hAnsi="Times New Roman" w:eastAsia="仿宋_GB2312" w:cs="Times New Roman"/>
                <w:b/>
                <w:bCs/>
                <w:sz w:val="21"/>
                <w:szCs w:val="21"/>
                <w:lang w:val="en-US" w:eastAsia="zh-CN"/>
              </w:rPr>
            </w:pPr>
            <w:r>
              <w:rPr>
                <w:rFonts w:hint="default" w:ascii="Times New Roman" w:hAnsi="Times New Roman" w:eastAsia="仿宋_GB2312" w:cs="Times New Roman"/>
                <w:b/>
                <w:bCs/>
                <w:sz w:val="21"/>
                <w:szCs w:val="21"/>
                <w:lang w:val="en-US" w:eastAsia="zh-CN"/>
              </w:rPr>
              <w:t>7</w:t>
            </w:r>
            <w:r>
              <w:rPr>
                <w:rFonts w:hint="eastAsia" w:ascii="Times New Roman" w:hAnsi="Times New Roman" w:eastAsia="仿宋_GB2312" w:cs="Times New Roman"/>
                <w:b/>
                <w:bCs/>
                <w:sz w:val="21"/>
                <w:szCs w:val="21"/>
                <w:lang w:val="en-US" w:eastAsia="zh-CN"/>
              </w:rPr>
              <w:t>8</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eastAsia="仿宋_GB2312" w:cs="Times New Roman"/>
                <w:b/>
                <w:bCs/>
                <w:sz w:val="21"/>
                <w:szCs w:val="21"/>
                <w:lang w:val="en-US" w:eastAsia="zh-CN"/>
              </w:rPr>
            </w:pPr>
            <w:r>
              <w:rPr>
                <w:rFonts w:hint="default" w:ascii="Times New Roman" w:hAnsi="Times New Roman" w:cs="Times New Roman"/>
                <w:b/>
                <w:bCs/>
                <w:sz w:val="21"/>
                <w:szCs w:val="21"/>
                <w:lang w:eastAsia="zh-CN"/>
              </w:rPr>
              <w:t>设施蔬菜轻简化技术推广</w:t>
            </w:r>
          </w:p>
        </w:tc>
        <w:tc>
          <w:tcPr>
            <w:tcW w:w="1128" w:type="dxa"/>
            <w:vAlign w:val="center"/>
          </w:tcPr>
          <w:p>
            <w:pPr>
              <w:widowControl/>
              <w:jc w:val="center"/>
              <w:rPr>
                <w:rFonts w:hint="default" w:ascii="Times New Roman" w:hAnsi="Times New Roman" w:eastAsia="仿宋_GB2312" w:cs="Times New Roman"/>
                <w:b/>
                <w:bCs/>
                <w:sz w:val="21"/>
                <w:szCs w:val="21"/>
                <w:lang w:val="en-US" w:eastAsia="zh-CN"/>
              </w:rPr>
            </w:pPr>
            <w:r>
              <w:rPr>
                <w:rFonts w:hint="default" w:ascii="Times New Roman" w:hAnsi="Times New Roman" w:cs="Times New Roman"/>
                <w:b/>
                <w:bCs/>
                <w:sz w:val="21"/>
                <w:szCs w:val="21"/>
                <w:lang w:eastAsia="zh-CN"/>
              </w:rPr>
              <w:t>栽培</w:t>
            </w:r>
          </w:p>
        </w:tc>
        <w:tc>
          <w:tcPr>
            <w:tcW w:w="1104" w:type="dxa"/>
            <w:vAlign w:val="center"/>
          </w:tcPr>
          <w:p>
            <w:pPr>
              <w:widowControl/>
              <w:jc w:val="center"/>
              <w:rPr>
                <w:rFonts w:hint="default" w:ascii="Times New Roman" w:hAnsi="Times New Roman" w:eastAsia="仿宋_GB2312" w:cs="Times New Roman"/>
                <w:b/>
                <w:bCs/>
                <w:sz w:val="21"/>
                <w:szCs w:val="21"/>
                <w:lang w:val="en-US" w:eastAsia="zh-CN"/>
              </w:rPr>
            </w:pPr>
            <w:r>
              <w:rPr>
                <w:rFonts w:hint="default" w:ascii="Times New Roman" w:hAnsi="Times New Roman" w:cs="Times New Roman"/>
                <w:b/>
                <w:bCs/>
                <w:sz w:val="21"/>
                <w:szCs w:val="21"/>
                <w:lang w:val="en-US" w:eastAsia="zh-CN"/>
              </w:rPr>
              <w:t>技术指导</w:t>
            </w:r>
          </w:p>
        </w:tc>
        <w:tc>
          <w:tcPr>
            <w:tcW w:w="145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lang w:val="en-US" w:eastAsia="zh-CN"/>
              </w:rPr>
            </w:pPr>
          </w:p>
        </w:tc>
        <w:tc>
          <w:tcPr>
            <w:tcW w:w="49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49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lang w:val="en-US" w:eastAsia="zh-CN"/>
              </w:rPr>
            </w:pPr>
          </w:p>
        </w:tc>
        <w:tc>
          <w:tcPr>
            <w:tcW w:w="1320"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lang w:val="en-US" w:eastAsia="zh-CN"/>
              </w:rPr>
            </w:pPr>
          </w:p>
        </w:tc>
        <w:tc>
          <w:tcPr>
            <w:tcW w:w="696"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rPr>
                <w:rFonts w:hint="default" w:ascii="Times New Roman" w:hAnsi="Times New Roman" w:eastAsia="仿宋_GB2312" w:cs="Times New Roman"/>
                <w:b/>
                <w:bCs/>
                <w:sz w:val="21"/>
                <w:szCs w:val="21"/>
                <w:lang w:val="en-US" w:eastAsia="zh-CN"/>
              </w:rPr>
            </w:pPr>
            <w:r>
              <w:rPr>
                <w:rFonts w:hint="default" w:ascii="Times New Roman" w:hAnsi="Times New Roman" w:eastAsia="仿宋_GB2312" w:cs="Times New Roman"/>
                <w:b/>
                <w:bCs/>
                <w:sz w:val="21"/>
                <w:szCs w:val="21"/>
                <w:lang w:val="en-US" w:eastAsia="zh-CN"/>
              </w:rPr>
              <w:t>7</w:t>
            </w:r>
            <w:r>
              <w:rPr>
                <w:rFonts w:hint="eastAsia" w:ascii="Times New Roman" w:hAnsi="Times New Roman" w:eastAsia="仿宋_GB2312" w:cs="Times New Roman"/>
                <w:b/>
                <w:bCs/>
                <w:sz w:val="21"/>
                <w:szCs w:val="21"/>
                <w:lang w:val="en-US" w:eastAsia="zh-CN"/>
              </w:rPr>
              <w:t>9</w:t>
            </w:r>
          </w:p>
        </w:tc>
        <w:tc>
          <w:tcPr>
            <w:tcW w:w="7956" w:type="dxa"/>
            <w:vAlign w:val="center"/>
          </w:tcPr>
          <w:p>
            <w:pPr>
              <w:widowControl/>
              <w:numPr>
                <w:ilvl w:val="0"/>
                <w:numId w:val="0"/>
              </w:numPr>
              <w:spacing w:line="240" w:lineRule="exact"/>
              <w:ind w:left="0" w:leftChars="0" w:firstLine="0" w:firstLineChars="0"/>
              <w:jc w:val="left"/>
              <w:rPr>
                <w:rFonts w:hint="default" w:ascii="Times New Roman" w:hAnsi="Times New Roman" w:eastAsia="仿宋_GB2312" w:cs="Times New Roman"/>
                <w:b/>
                <w:bCs/>
                <w:sz w:val="21"/>
                <w:szCs w:val="21"/>
                <w:lang w:val="en-US" w:eastAsia="zh-CN"/>
              </w:rPr>
            </w:pPr>
            <w:r>
              <w:rPr>
                <w:rFonts w:hint="default" w:ascii="Times New Roman" w:hAnsi="Times New Roman" w:cs="Times New Roman"/>
                <w:b/>
                <w:bCs/>
                <w:sz w:val="21"/>
                <w:szCs w:val="21"/>
                <w:lang w:eastAsia="zh-CN"/>
              </w:rPr>
              <w:t>蔬菜短期贮存技术应用</w:t>
            </w:r>
          </w:p>
        </w:tc>
        <w:tc>
          <w:tcPr>
            <w:tcW w:w="1128" w:type="dxa"/>
            <w:vAlign w:val="center"/>
          </w:tcPr>
          <w:p>
            <w:pPr>
              <w:widowControl/>
              <w:jc w:val="center"/>
              <w:rPr>
                <w:rFonts w:hint="default" w:ascii="Times New Roman" w:hAnsi="Times New Roman" w:eastAsia="仿宋_GB2312" w:cs="Times New Roman"/>
                <w:b/>
                <w:bCs/>
                <w:sz w:val="21"/>
                <w:szCs w:val="21"/>
                <w:lang w:val="en-US" w:eastAsia="zh-CN"/>
              </w:rPr>
            </w:pPr>
            <w:r>
              <w:rPr>
                <w:rFonts w:hint="default" w:ascii="Times New Roman" w:hAnsi="Times New Roman" w:cs="Times New Roman"/>
                <w:b/>
                <w:bCs/>
                <w:sz w:val="21"/>
                <w:szCs w:val="21"/>
                <w:lang w:eastAsia="zh-CN"/>
              </w:rPr>
              <w:t>栽培</w:t>
            </w:r>
          </w:p>
        </w:tc>
        <w:tc>
          <w:tcPr>
            <w:tcW w:w="1104" w:type="dxa"/>
            <w:vAlign w:val="center"/>
          </w:tcPr>
          <w:p>
            <w:pPr>
              <w:widowControl/>
              <w:jc w:val="center"/>
              <w:rPr>
                <w:rFonts w:hint="default" w:ascii="Times New Roman" w:hAnsi="Times New Roman" w:eastAsia="仿宋_GB2312" w:cs="Times New Roman"/>
                <w:b/>
                <w:bCs/>
                <w:sz w:val="21"/>
                <w:szCs w:val="21"/>
                <w:lang w:val="en-US" w:eastAsia="zh-CN"/>
              </w:rPr>
            </w:pPr>
            <w:r>
              <w:rPr>
                <w:rFonts w:hint="default" w:ascii="Times New Roman" w:hAnsi="Times New Roman" w:cs="Times New Roman"/>
                <w:b/>
                <w:bCs/>
                <w:sz w:val="21"/>
                <w:szCs w:val="21"/>
                <w:lang w:val="en-US" w:eastAsia="zh-CN"/>
              </w:rPr>
              <w:t>技术指导</w:t>
            </w:r>
          </w:p>
        </w:tc>
        <w:tc>
          <w:tcPr>
            <w:tcW w:w="1452" w:type="dxa"/>
            <w:vMerge w:val="continue"/>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1"/>
                <w:szCs w:val="21"/>
                <w:lang w:val="en-US" w:eastAsia="zh-CN"/>
              </w:rPr>
            </w:pPr>
          </w:p>
        </w:tc>
        <w:tc>
          <w:tcPr>
            <w:tcW w:w="492" w:type="dxa"/>
            <w:vAlign w:val="center"/>
          </w:tcPr>
          <w:p>
            <w:pPr>
              <w:keepNext w:val="0"/>
              <w:keepLines w:val="0"/>
              <w:pageBreakBefore w:val="0"/>
              <w:widowControl/>
              <w:kinsoku/>
              <w:overflowPunct/>
              <w:topLinePunct w:val="0"/>
              <w:autoSpaceDE/>
              <w:autoSpaceDN/>
              <w:bidi w:val="0"/>
              <w:adjustRightInd w:val="0"/>
              <w:snapToGrid w:val="0"/>
              <w:spacing w:beforeAutospacing="0" w:afterAutospacing="0" w:line="300" w:lineRule="exact"/>
              <w:jc w:val="center"/>
              <w:textAlignment w:val="auto"/>
              <w:outlineLvl w:val="9"/>
              <w:rPr>
                <w:rFonts w:hint="default" w:ascii="Times New Roman" w:hAnsi="Times New Roman" w:eastAsia="仿宋_GB2312" w:cs="Times New Roman"/>
                <w:b/>
                <w:bCs/>
                <w:sz w:val="26"/>
                <w:szCs w:val="26"/>
              </w:rPr>
            </w:pPr>
          </w:p>
        </w:tc>
      </w:tr>
    </w:tbl>
    <w:p>
      <w:pPr>
        <w:keepNext w:val="0"/>
        <w:keepLines w:val="0"/>
        <w:pageBreakBefore w:val="0"/>
        <w:widowControl w:val="0"/>
        <w:kinsoku/>
        <w:wordWrap/>
        <w:overflowPunct/>
        <w:topLinePunct w:val="0"/>
        <w:autoSpaceDE/>
        <w:autoSpaceDN/>
        <w:bidi w:val="0"/>
        <w:adjustRightInd/>
        <w:snapToGrid/>
        <w:spacing w:line="600" w:lineRule="exact"/>
        <w:ind w:firstLine="4512" w:firstLineChars="1322"/>
        <w:textAlignment w:val="auto"/>
        <w:outlineLvl w:val="9"/>
        <w:rPr>
          <w:rFonts w:hint="eastAsia" w:ascii="仿宋_GB2312" w:hAnsi="仿宋_GB2312" w:eastAsia="仿宋_GB2312" w:cs="仿宋_GB2312"/>
          <w:b/>
          <w:bCs/>
          <w:sz w:val="34"/>
          <w:szCs w:val="34"/>
          <w:lang w:val="en-US" w:eastAsia="zh-CN"/>
        </w:rPr>
      </w:pPr>
    </w:p>
    <w:p>
      <w:pPr>
        <w:rPr>
          <w:rFonts w:hint="eastAsia" w:ascii="仿宋_GB2312" w:hAnsi="仿宋_GB2312" w:eastAsia="仿宋_GB2312" w:cs="仿宋_GB2312"/>
        </w:rPr>
      </w:pPr>
    </w:p>
    <w:sectPr>
      <w:headerReference r:id="rId3" w:type="default"/>
      <w:footerReference r:id="rId4" w:type="default"/>
      <w:pgSz w:w="16838" w:h="11906" w:orient="landscape"/>
      <w:pgMar w:top="1304" w:right="1304" w:bottom="1304" w:left="1304"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4159885</wp:posOffset>
              </wp:positionH>
              <wp:positionV relativeFrom="paragraph">
                <wp:posOffset>0</wp:posOffset>
              </wp:positionV>
              <wp:extent cx="564515" cy="2520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64515" cy="2520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default" w:ascii="Times New Roman" w:hAnsi="Times New Roman" w:cs="Times New Roman" w:eastAsiaTheme="minorEastAsia"/>
                              <w:sz w:val="32"/>
                              <w:szCs w:val="48"/>
                              <w:lang w:eastAsia="zh-CN"/>
                            </w:rPr>
                          </w:pPr>
                          <w:r>
                            <w:rPr>
                              <w:rFonts w:hint="default" w:ascii="Times New Roman" w:hAnsi="Times New Roman" w:cs="Times New Roman"/>
                              <w:sz w:val="28"/>
                              <w:szCs w:val="44"/>
                              <w:lang w:eastAsia="zh-CN"/>
                            </w:rPr>
                            <w:fldChar w:fldCharType="begin"/>
                          </w:r>
                          <w:r>
                            <w:rPr>
                              <w:rFonts w:hint="default" w:ascii="Times New Roman" w:hAnsi="Times New Roman" w:cs="Times New Roman"/>
                              <w:sz w:val="28"/>
                              <w:szCs w:val="44"/>
                              <w:lang w:eastAsia="zh-CN"/>
                            </w:rPr>
                            <w:instrText xml:space="preserve"> PAGE  \* MERGEFORMAT </w:instrText>
                          </w:r>
                          <w:r>
                            <w:rPr>
                              <w:rFonts w:hint="default" w:ascii="Times New Roman" w:hAnsi="Times New Roman" w:cs="Times New Roman"/>
                              <w:sz w:val="28"/>
                              <w:szCs w:val="44"/>
                              <w:lang w:eastAsia="zh-CN"/>
                            </w:rPr>
                            <w:fldChar w:fldCharType="separate"/>
                          </w:r>
                          <w:r>
                            <w:rPr>
                              <w:rFonts w:hint="default" w:ascii="Times New Roman" w:hAnsi="Times New Roman" w:cs="Times New Roman"/>
                              <w:sz w:val="28"/>
                              <w:szCs w:val="44"/>
                              <w:lang w:eastAsia="zh-CN"/>
                            </w:rPr>
                            <w:t>1</w:t>
                          </w:r>
                          <w:r>
                            <w:rPr>
                              <w:rFonts w:hint="default" w:ascii="Times New Roman" w:hAnsi="Times New Roman" w:cs="Times New Roman"/>
                              <w:sz w:val="28"/>
                              <w:szCs w:val="4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27.55pt;margin-top:0pt;height:19.85pt;width:44.45pt;mso-position-horizontal-relative:margin;z-index:251658240;mso-width-relative:page;mso-height-relative:page;" filled="f" stroked="f" coordsize="21600,21600" o:gfxdata="UEsDBAoAAAAAAIdO4kAAAAAAAAAAAAAAAAAEAAAAZHJzL1BLAwQUAAAACACHTuJAifCg9tYAAAAH&#10;AQAADwAAAGRycy9kb3ducmV2LnhtbE2PO0/EMBCEeyT+g7VIdJwTuBchzhU8Op53IEHnxEsSYa8j&#10;28kd/56lgm5WM5r5ttwcnBUThth7UpDPMhBIjTc9tQped3dnaxAxaTLaekIF3xhhUx0flbowfk8v&#10;OG1TK7iEYqEVdCkNhZSx6dDpOPMDEnufPjid+AytNEHvudxZeZ5lS+l0T7zQ6QGvO2y+tqNTYN9j&#10;uK+z9DHdtA/p+UmOb7f5o1KnJ3l2BSLhIf2F4Ref0aFiptqPZKKwCpaLRc5RBfwR26v5nEWt4OJy&#10;BbIq5X/+6gdQSwMEFAAAAAgAh07iQCGbpo8bAgAAEwQAAA4AAABkcnMvZTJvRG9jLnhtbK1TwY7T&#10;MBC9I/EPlu80aaEVRE1XZVdFSBW7UkGcXcduItkeY7tNygfAH3DaC3e+a7+DsZN0EXBCXJzJzHhm&#10;3pvn5VWnFTkJ5xswJZ1OckqE4VA15lDSD+83z15S4gMzFVNgREnPwtOr1dMny9YWYgY1qEo4gkWM&#10;L1pb0joEW2SZ57XQzE/ACoNBCU6zgL/ukFWOtVhdq2yW54usBVdZB1x4j96bPkhXqb6UgodbKb0I&#10;RJUUZwvpdOncxzNbLVlxcMzWDR/GYP8whWaNwaaXUjcsMHJ0zR+ldMMdeJBhwkFnIGXDRcKAaKb5&#10;b2h2NbMiYUFyvL3Q5P9fWf7udOdIU+HuKDFM44oevn19uP/x8P0LmUZ6WusLzNpZzAvda+hi6uD3&#10;6IyoO+l0/CIegnEk+nwhV3SBcHTOFy/m0zklHEOz+Sx/NY9VssfL1vnwRoAm0Sipw90lStlp60Of&#10;OqbEXgY2jVLoZ4UypC3p4vk8TxcuESyuDPaIEPpRoxW6fTfMv4fqjLAc9Lrwlm8abL5lPtwxh0JA&#10;JCjucIuHVIBNYLAoqcF9/ps/5uN+MEpJi8Iqqf90ZE5Qot4a3FxU4Wi40diPhjnqa0Ct4jZwmmTi&#10;BRfUaEoH+iNqfh27YIgZjr1KGkbzOvTyxjfDxXqdko7WNYe6v4C6syxszc7y2Kancn0MIJvEcqSo&#10;52VgDpWX9jS8kijtX/9T1uNbXv0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ifCg9tYAAAAHAQAA&#10;DwAAAAAAAAABACAAAAAiAAAAZHJzL2Rvd25yZXYueG1sUEsBAhQAFAAAAAgAh07iQCGbpo8bAgAA&#10;EwQAAA4AAAAAAAAAAQAgAAAAJQEAAGRycy9lMm9Eb2MueG1sUEsFBgAAAAAGAAYAWQEAALIFAAAA&#10;AA==&#10;">
              <v:fill on="f" focussize="0,0"/>
              <v:stroke on="f" weight="0.5pt"/>
              <v:imagedata o:title=""/>
              <o:lock v:ext="edit" aspectratio="f"/>
              <v:textbox inset="0mm,0mm,0mm,0mm">
                <w:txbxContent>
                  <w:p>
                    <w:pPr>
                      <w:pStyle w:val="2"/>
                      <w:jc w:val="center"/>
                      <w:rPr>
                        <w:rFonts w:hint="default" w:ascii="Times New Roman" w:hAnsi="Times New Roman" w:cs="Times New Roman" w:eastAsiaTheme="minorEastAsia"/>
                        <w:sz w:val="32"/>
                        <w:szCs w:val="48"/>
                        <w:lang w:eastAsia="zh-CN"/>
                      </w:rPr>
                    </w:pPr>
                    <w:r>
                      <w:rPr>
                        <w:rFonts w:hint="default" w:ascii="Times New Roman" w:hAnsi="Times New Roman" w:cs="Times New Roman"/>
                        <w:sz w:val="28"/>
                        <w:szCs w:val="44"/>
                        <w:lang w:eastAsia="zh-CN"/>
                      </w:rPr>
                      <w:fldChar w:fldCharType="begin"/>
                    </w:r>
                    <w:r>
                      <w:rPr>
                        <w:rFonts w:hint="default" w:ascii="Times New Roman" w:hAnsi="Times New Roman" w:cs="Times New Roman"/>
                        <w:sz w:val="28"/>
                        <w:szCs w:val="44"/>
                        <w:lang w:eastAsia="zh-CN"/>
                      </w:rPr>
                      <w:instrText xml:space="preserve"> PAGE  \* MERGEFORMAT </w:instrText>
                    </w:r>
                    <w:r>
                      <w:rPr>
                        <w:rFonts w:hint="default" w:ascii="Times New Roman" w:hAnsi="Times New Roman" w:cs="Times New Roman"/>
                        <w:sz w:val="28"/>
                        <w:szCs w:val="44"/>
                        <w:lang w:eastAsia="zh-CN"/>
                      </w:rPr>
                      <w:fldChar w:fldCharType="separate"/>
                    </w:r>
                    <w:r>
                      <w:rPr>
                        <w:rFonts w:hint="default" w:ascii="Times New Roman" w:hAnsi="Times New Roman" w:cs="Times New Roman"/>
                        <w:sz w:val="28"/>
                        <w:szCs w:val="44"/>
                        <w:lang w:eastAsia="zh-CN"/>
                      </w:rPr>
                      <w:t>1</w:t>
                    </w:r>
                    <w:r>
                      <w:rPr>
                        <w:rFonts w:hint="default" w:ascii="Times New Roman" w:hAnsi="Times New Roman" w:cs="Times New Roman"/>
                        <w:sz w:val="28"/>
                        <w:szCs w:val="4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方正小标宋简体" w:hAnsi="方正小标宋简体" w:eastAsia="方正小标宋简体" w:cs="方正小标宋简体"/>
        <w:b/>
        <w:bCs/>
        <w:color w:val="000000"/>
        <w:sz w:val="40"/>
        <w:szCs w:val="40"/>
      </w:rPr>
      <w:t>技术需求情况</w:t>
    </w:r>
    <w:r>
      <w:rPr>
        <w:rFonts w:hint="eastAsia" w:ascii="方正小标宋简体" w:hAnsi="方正小标宋简体" w:eastAsia="方正小标宋简体" w:cs="方正小标宋简体"/>
        <w:b/>
        <w:bCs/>
        <w:color w:val="000000"/>
        <w:sz w:val="40"/>
        <w:szCs w:val="40"/>
        <w:lang w:val="en-US" w:eastAsia="zh-CN"/>
      </w:rPr>
      <w:t>汇总</w:t>
    </w:r>
    <w:r>
      <w:rPr>
        <w:rFonts w:hint="eastAsia" w:ascii="方正小标宋简体" w:hAnsi="方正小标宋简体" w:eastAsia="方正小标宋简体" w:cs="方正小标宋简体"/>
        <w:b/>
        <w:bCs/>
        <w:color w:val="000000"/>
        <w:sz w:val="40"/>
        <w:szCs w:val="40"/>
      </w:rPr>
      <w:t>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B53CF9"/>
    <w:rsid w:val="001306F6"/>
    <w:rsid w:val="009A0E59"/>
    <w:rsid w:val="02415276"/>
    <w:rsid w:val="02EF4BCA"/>
    <w:rsid w:val="05253585"/>
    <w:rsid w:val="06330C0D"/>
    <w:rsid w:val="0784353E"/>
    <w:rsid w:val="07D266ED"/>
    <w:rsid w:val="08E24C50"/>
    <w:rsid w:val="09475F49"/>
    <w:rsid w:val="0E9C064C"/>
    <w:rsid w:val="0EFA0099"/>
    <w:rsid w:val="0F707A03"/>
    <w:rsid w:val="0FED2E98"/>
    <w:rsid w:val="100450B5"/>
    <w:rsid w:val="100F65AC"/>
    <w:rsid w:val="1274268D"/>
    <w:rsid w:val="12801B97"/>
    <w:rsid w:val="128A21ED"/>
    <w:rsid w:val="129955A9"/>
    <w:rsid w:val="13282933"/>
    <w:rsid w:val="1453599B"/>
    <w:rsid w:val="14D30108"/>
    <w:rsid w:val="15896AB1"/>
    <w:rsid w:val="15B53CF9"/>
    <w:rsid w:val="16A46C01"/>
    <w:rsid w:val="171550F5"/>
    <w:rsid w:val="17506B6E"/>
    <w:rsid w:val="176424EA"/>
    <w:rsid w:val="1885098C"/>
    <w:rsid w:val="18DD1C45"/>
    <w:rsid w:val="18F16259"/>
    <w:rsid w:val="191028D8"/>
    <w:rsid w:val="19232FC4"/>
    <w:rsid w:val="1A4121CA"/>
    <w:rsid w:val="1A5C67B7"/>
    <w:rsid w:val="1B411C8E"/>
    <w:rsid w:val="1DF94568"/>
    <w:rsid w:val="1E667503"/>
    <w:rsid w:val="1EA145EF"/>
    <w:rsid w:val="1F9427B9"/>
    <w:rsid w:val="1FFB1F1B"/>
    <w:rsid w:val="20C87E20"/>
    <w:rsid w:val="20DB4CEA"/>
    <w:rsid w:val="20EB4C6E"/>
    <w:rsid w:val="231646E5"/>
    <w:rsid w:val="231D6456"/>
    <w:rsid w:val="23392B6D"/>
    <w:rsid w:val="23AA7EF8"/>
    <w:rsid w:val="26147A7E"/>
    <w:rsid w:val="275F765E"/>
    <w:rsid w:val="27707B30"/>
    <w:rsid w:val="28734446"/>
    <w:rsid w:val="28A54EAA"/>
    <w:rsid w:val="28F821E5"/>
    <w:rsid w:val="294E0CFE"/>
    <w:rsid w:val="296B2003"/>
    <w:rsid w:val="2A8E0035"/>
    <w:rsid w:val="2BA25529"/>
    <w:rsid w:val="2C2A536E"/>
    <w:rsid w:val="2D7D0F3C"/>
    <w:rsid w:val="2E4B615F"/>
    <w:rsid w:val="2F8E4F90"/>
    <w:rsid w:val="303047A1"/>
    <w:rsid w:val="31090BC9"/>
    <w:rsid w:val="327613D0"/>
    <w:rsid w:val="3373683C"/>
    <w:rsid w:val="339A29F9"/>
    <w:rsid w:val="345001F6"/>
    <w:rsid w:val="34E45FD0"/>
    <w:rsid w:val="35BA749A"/>
    <w:rsid w:val="36E56579"/>
    <w:rsid w:val="384A1713"/>
    <w:rsid w:val="387D2E0B"/>
    <w:rsid w:val="38AD106A"/>
    <w:rsid w:val="3A686502"/>
    <w:rsid w:val="3A825014"/>
    <w:rsid w:val="3A9C1CA4"/>
    <w:rsid w:val="3C055B0A"/>
    <w:rsid w:val="3C60555B"/>
    <w:rsid w:val="3C6740CB"/>
    <w:rsid w:val="3C9C4E9A"/>
    <w:rsid w:val="3CB327A8"/>
    <w:rsid w:val="3CD10839"/>
    <w:rsid w:val="3D464638"/>
    <w:rsid w:val="3D9145A4"/>
    <w:rsid w:val="3DA7358E"/>
    <w:rsid w:val="3F0E0326"/>
    <w:rsid w:val="40946C2C"/>
    <w:rsid w:val="41143D84"/>
    <w:rsid w:val="4169043E"/>
    <w:rsid w:val="425D23D6"/>
    <w:rsid w:val="42B2731E"/>
    <w:rsid w:val="430A7CD3"/>
    <w:rsid w:val="43D109EE"/>
    <w:rsid w:val="443A5AB7"/>
    <w:rsid w:val="45B302EA"/>
    <w:rsid w:val="46092CC6"/>
    <w:rsid w:val="466162ED"/>
    <w:rsid w:val="48D56F5F"/>
    <w:rsid w:val="493E158E"/>
    <w:rsid w:val="49E16590"/>
    <w:rsid w:val="4A3861FF"/>
    <w:rsid w:val="4A3C33BA"/>
    <w:rsid w:val="4A3F1F80"/>
    <w:rsid w:val="4A4F5F71"/>
    <w:rsid w:val="4A7071EB"/>
    <w:rsid w:val="4AB56217"/>
    <w:rsid w:val="4C532C18"/>
    <w:rsid w:val="4C63736D"/>
    <w:rsid w:val="4CFC3880"/>
    <w:rsid w:val="4D511BFA"/>
    <w:rsid w:val="4D851F69"/>
    <w:rsid w:val="4DCD38FB"/>
    <w:rsid w:val="4E1D6BB4"/>
    <w:rsid w:val="4E447CFB"/>
    <w:rsid w:val="4E5A6E49"/>
    <w:rsid w:val="4F50039B"/>
    <w:rsid w:val="4F66665A"/>
    <w:rsid w:val="4FB3327E"/>
    <w:rsid w:val="4FB74E9D"/>
    <w:rsid w:val="4FCC5032"/>
    <w:rsid w:val="502B4E7C"/>
    <w:rsid w:val="506B61A4"/>
    <w:rsid w:val="512C41FB"/>
    <w:rsid w:val="52817840"/>
    <w:rsid w:val="541E1360"/>
    <w:rsid w:val="555E2038"/>
    <w:rsid w:val="557F5C07"/>
    <w:rsid w:val="56406C51"/>
    <w:rsid w:val="5743270A"/>
    <w:rsid w:val="582711AF"/>
    <w:rsid w:val="59A42209"/>
    <w:rsid w:val="5A7474D8"/>
    <w:rsid w:val="5BA64068"/>
    <w:rsid w:val="5BBE06E9"/>
    <w:rsid w:val="5C170AA5"/>
    <w:rsid w:val="5C6E6609"/>
    <w:rsid w:val="5CAB1080"/>
    <w:rsid w:val="5D2F1BC3"/>
    <w:rsid w:val="5DFA36FC"/>
    <w:rsid w:val="5F252177"/>
    <w:rsid w:val="61E22631"/>
    <w:rsid w:val="626C156F"/>
    <w:rsid w:val="62702FD8"/>
    <w:rsid w:val="63526F9D"/>
    <w:rsid w:val="6449421A"/>
    <w:rsid w:val="645D64D1"/>
    <w:rsid w:val="64705B8C"/>
    <w:rsid w:val="65056A7E"/>
    <w:rsid w:val="6591647A"/>
    <w:rsid w:val="661E7767"/>
    <w:rsid w:val="669A5686"/>
    <w:rsid w:val="67A92475"/>
    <w:rsid w:val="682A0D4C"/>
    <w:rsid w:val="697348A8"/>
    <w:rsid w:val="6A034D08"/>
    <w:rsid w:val="6AC7154C"/>
    <w:rsid w:val="6BD0076D"/>
    <w:rsid w:val="6BEA2EB1"/>
    <w:rsid w:val="6C8F410B"/>
    <w:rsid w:val="6CAF23B4"/>
    <w:rsid w:val="6D2509C0"/>
    <w:rsid w:val="6D535020"/>
    <w:rsid w:val="6D6E5C4B"/>
    <w:rsid w:val="6DF90661"/>
    <w:rsid w:val="6E464CDC"/>
    <w:rsid w:val="6E651A58"/>
    <w:rsid w:val="6F11173F"/>
    <w:rsid w:val="702F0A20"/>
    <w:rsid w:val="708570FF"/>
    <w:rsid w:val="714C0342"/>
    <w:rsid w:val="71C27EB7"/>
    <w:rsid w:val="728D20B6"/>
    <w:rsid w:val="72C71D17"/>
    <w:rsid w:val="7329025B"/>
    <w:rsid w:val="73A728FD"/>
    <w:rsid w:val="752E2BE8"/>
    <w:rsid w:val="75694E40"/>
    <w:rsid w:val="75946218"/>
    <w:rsid w:val="75A31EA9"/>
    <w:rsid w:val="78752080"/>
    <w:rsid w:val="799548B8"/>
    <w:rsid w:val="7A0E45F5"/>
    <w:rsid w:val="7ABA1501"/>
    <w:rsid w:val="7AF82512"/>
    <w:rsid w:val="7D1B408E"/>
    <w:rsid w:val="7EF40C80"/>
    <w:rsid w:val="7F174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33</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2018-09-10T01:53:00Z</dcterms:created>
  <dc:creator>Administrator</dc:creator>
  <cp:lastModifiedBy>秋霜尾生</cp:lastModifiedBy>
  <cp:lastPrinted>2018-09-11T06:46:00Z</cp:lastPrinted>
  <dcterms:modified xsi:type="dcterms:W3CDTF">2018-09-13T03:04:05Z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KSORubyTemplateID" linkTarget="0">
    <vt:lpwstr>6</vt:lpwstr>
  </property>
</Properties>
</file>