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关于举办第二届“雄安新区人才智力交流会”</w:t>
      </w:r>
    </w:p>
    <w:p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Style w:val="5"/>
          <w:rFonts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  <w:t>网络引才活动的通知</w:t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为推动高校毕业生实现更高质量更加充分就业，助力雄安新区建设发展和引进急需紧缺各类人才，定于9月29日启动为期一个月的第二届“雄安新区人才智力交流会”网络引才活动。</w:t>
      </w:r>
    </w:p>
    <w:p>
      <w:pPr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大会由人社部人力资源流动管理司、河北省人力资源社会保障厅和雄安新区管委会主办，河北省人力资源市场、雄安新区党工委管委会党群工作部、雄安新区管委会公共服务局具体承办。截止目前，大会已组织发动雄安新区80余家入驻央企、国企和重点民营企业参会，发布需求岗位580余个，需求各类人才3100余人。参会单位包括中铁十二局集团、中建设计集团有限公司雄安总部、中国建筑西北设计研究院、中铁建工集团、中移系统集成有限公司、中交雄安融资租赁有限公司、中交雄安城市建设发展有限公司、河北雄安人力资源服务有限公司、雄安新区智能城市创新联合会、雄安新区科技创新企业联合会、河北中联银杉新材料有限公司、中海物业管理有限公司河北雄安分公司、长江证券股份有限公司河北雄安分公司、容城县中医医院、雄安新区未来工业设计研究院、河北雄安绿研检验认证有限公司、河北雄安启迪之星科技企业孵化器有限公司等。大会同时发动了北京、天津和河北地区110家用人单位参会，提供需求岗位670个，需求各类人才3000余人。</w:t>
      </w:r>
    </w:p>
    <w:p>
      <w:pPr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大会期间还将会同河北新闻网举办“冀才雄安”网络直播引才活动，发动雄安新区5家优质重点企事业单位通过抖音、快手等直播平台发布需求岗位。直播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活动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将于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10月中下旬开展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，广大人才届时可通过河北新闻网抖音号、快手号、微博号、百家号等平台观看直播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，详细信息可关注网站活动页面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。</w:t>
      </w:r>
    </w:p>
    <w:p>
      <w:pPr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参会单位仍在持续征集发动中。欢迎高校毕业生扫描大会专题页面二维码，或登录河北人才网(高级人才频道)网址：</w:t>
      </w:r>
      <w:r>
        <w:rPr>
          <w:rStyle w:val="5"/>
          <w:rFonts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  <w:t>http://jc.hbrc.com.cn查询岗位和在线求职。</w:t>
      </w:r>
    </w:p>
    <w:p>
      <w:pPr>
        <w:jc w:val="center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152650" cy="2152650"/>
            <wp:effectExtent l="0" t="0" r="0" b="0"/>
            <wp:docPr id="1" name="图片 1" descr="78b066da209aff5686abfb878240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b066da209aff5686abfb878240c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ind w:firstLine="3840" w:firstLineChars="1200"/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河北省人力资源市场服务中心</w:t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                           2020年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10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月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12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6F9F791E"/>
    <w:rsid w:val="7A24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0"/>
    <w:rPr>
      <w:color w:val="0000FF"/>
      <w:u w:val="single"/>
    </w:rPr>
  </w:style>
  <w:style w:type="character" w:customStyle="1" w:styleId="5">
    <w:name w:val="NormalCharacter"/>
    <w:qFormat/>
    <w:uiPriority w:val="0"/>
  </w:style>
  <w:style w:type="table" w:customStyle="1" w:styleId="6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741</Words>
  <Characters>790</Characters>
  <Paragraphs>14</Paragraphs>
  <TotalTime>18</TotalTime>
  <ScaleCrop>false</ScaleCrop>
  <LinksUpToDate>false</LinksUpToDate>
  <CharactersWithSpaces>855</CharactersWithSpaces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2020-09-27T05:33:00Z</dcterms:created>
  <dc:creator>WPS Office</dc:creator>
  <cp:lastModifiedBy>珅</cp:lastModifiedBy>
  <cp:lastPrinted>2020-10-12T03:14:12Z</cp:lastPrinted>
  <dcterms:modified xsi:type="dcterms:W3CDTF">2020-10-12T03:14:19Z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